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EEAE3" w14:textId="65919FDA" w:rsidR="001F46AA" w:rsidRPr="00E246FF" w:rsidRDefault="00297528" w:rsidP="001F46AA">
      <w:pPr>
        <w:autoSpaceDE w:val="0"/>
        <w:autoSpaceDN w:val="0"/>
        <w:adjustRightInd w:val="0"/>
        <w:jc w:val="center"/>
        <w:rPr>
          <w:b/>
          <w:sz w:val="28"/>
          <w:szCs w:val="28"/>
          <w:u w:val="single"/>
        </w:rPr>
      </w:pPr>
      <w:r w:rsidRPr="00E246FF">
        <w:rPr>
          <w:b/>
          <w:sz w:val="28"/>
          <w:szCs w:val="28"/>
          <w:u w:val="single"/>
        </w:rPr>
        <w:t>Page de garde de l’AE -</w:t>
      </w:r>
      <w:r w:rsidR="001F46AA" w:rsidRPr="00E246FF">
        <w:rPr>
          <w:b/>
          <w:sz w:val="28"/>
          <w:szCs w:val="28"/>
          <w:u w:val="single"/>
        </w:rPr>
        <w:t xml:space="preserve"> Données </w:t>
      </w:r>
      <w:r w:rsidR="000F708F" w:rsidRPr="00E246FF">
        <w:rPr>
          <w:b/>
          <w:sz w:val="28"/>
          <w:szCs w:val="28"/>
          <w:u w:val="single"/>
        </w:rPr>
        <w:t xml:space="preserve">essentielles et </w:t>
      </w:r>
      <w:r w:rsidR="001F46AA" w:rsidRPr="00E246FF">
        <w:rPr>
          <w:b/>
          <w:sz w:val="28"/>
          <w:szCs w:val="28"/>
          <w:u w:val="single"/>
        </w:rPr>
        <w:t>financières</w:t>
      </w:r>
      <w:r w:rsidR="000F708F" w:rsidRPr="00E246FF">
        <w:rPr>
          <w:b/>
          <w:sz w:val="28"/>
          <w:szCs w:val="28"/>
          <w:u w:val="single"/>
        </w:rPr>
        <w:t xml:space="preserve"> du marché</w:t>
      </w:r>
    </w:p>
    <w:p w14:paraId="1EAE51B4" w14:textId="458638EF" w:rsidR="00297528" w:rsidRPr="00297528" w:rsidRDefault="00297528" w:rsidP="001F46AA">
      <w:pPr>
        <w:autoSpaceDE w:val="0"/>
        <w:autoSpaceDN w:val="0"/>
        <w:adjustRightInd w:val="0"/>
        <w:jc w:val="center"/>
        <w:rPr>
          <w:i/>
          <w:sz w:val="22"/>
          <w:szCs w:val="22"/>
        </w:rPr>
      </w:pPr>
      <w:r w:rsidRPr="00297528">
        <w:rPr>
          <w:i/>
          <w:sz w:val="22"/>
          <w:szCs w:val="22"/>
        </w:rPr>
        <w:t>(Page réservée à l’administration)</w:t>
      </w:r>
    </w:p>
    <w:p w14:paraId="17A5C4E2" w14:textId="6C6C8865" w:rsidR="000F708F" w:rsidRDefault="000F708F" w:rsidP="001F46AA">
      <w:pPr>
        <w:autoSpaceDE w:val="0"/>
        <w:autoSpaceDN w:val="0"/>
        <w:adjustRightInd w:val="0"/>
        <w:jc w:val="center"/>
        <w:rPr>
          <w:b/>
          <w:sz w:val="26"/>
          <w:szCs w:val="26"/>
          <w:u w:val="single"/>
        </w:rPr>
      </w:pPr>
    </w:p>
    <w:p w14:paraId="4E3F214E" w14:textId="416084FF" w:rsidR="00E246FF" w:rsidRPr="00D251B1" w:rsidRDefault="00E246FF" w:rsidP="00E246FF">
      <w:pPr>
        <w:pStyle w:val="Titre4"/>
        <w:ind w:left="0" w:firstLine="0"/>
        <w:rPr>
          <w:rFonts w:ascii="Times New Roman" w:hAnsi="Times New Roman" w:cs="Times New Roman"/>
          <w:b w:val="0"/>
          <w:bCs w:val="0"/>
        </w:rPr>
      </w:pPr>
      <w:r w:rsidRPr="00D251B1">
        <w:rPr>
          <w:rFonts w:ascii="Times New Roman" w:hAnsi="Times New Roman" w:cs="Times New Roman"/>
          <w:b w:val="0"/>
          <w:bCs w:val="0"/>
        </w:rPr>
        <w:t xml:space="preserve">Accord-cadre </w:t>
      </w:r>
      <w:r w:rsidR="00A040E0">
        <w:rPr>
          <w:rFonts w:ascii="Times New Roman" w:hAnsi="Times New Roman" w:cs="Times New Roman"/>
          <w:b w:val="0"/>
          <w:bCs w:val="0"/>
        </w:rPr>
        <w:t xml:space="preserve">relatif à </w:t>
      </w:r>
      <w:r w:rsidR="00DC590F">
        <w:rPr>
          <w:rFonts w:ascii="Times New Roman" w:hAnsi="Times New Roman" w:cs="Times New Roman"/>
          <w:b w:val="0"/>
          <w:bCs w:val="0"/>
        </w:rPr>
        <w:t xml:space="preserve">la maintenance des 35 licences du code de calcul LSTC/ LS </w:t>
      </w:r>
      <w:proofErr w:type="spellStart"/>
      <w:r w:rsidR="00DC590F">
        <w:rPr>
          <w:rFonts w:ascii="Times New Roman" w:hAnsi="Times New Roman" w:cs="Times New Roman"/>
          <w:b w:val="0"/>
          <w:bCs w:val="0"/>
        </w:rPr>
        <w:t>Dyna</w:t>
      </w:r>
      <w:proofErr w:type="spellEnd"/>
    </w:p>
    <w:p w14:paraId="06239B63" w14:textId="6076C72A" w:rsidR="00A040E0" w:rsidRDefault="00A040E0" w:rsidP="00A040E0">
      <w:pPr>
        <w:autoSpaceDE w:val="0"/>
        <w:autoSpaceDN w:val="0"/>
        <w:adjustRightInd w:val="0"/>
        <w:rPr>
          <w:b/>
          <w:sz w:val="22"/>
          <w:szCs w:val="22"/>
        </w:rPr>
      </w:pPr>
    </w:p>
    <w:p w14:paraId="47C37A23" w14:textId="15715571" w:rsidR="00A040E0" w:rsidRDefault="00A040E0" w:rsidP="00A040E0">
      <w:pPr>
        <w:autoSpaceDE w:val="0"/>
        <w:autoSpaceDN w:val="0"/>
        <w:adjustRightInd w:val="0"/>
        <w:rPr>
          <w:b/>
          <w:sz w:val="22"/>
          <w:szCs w:val="22"/>
        </w:rPr>
      </w:pPr>
    </w:p>
    <w:tbl>
      <w:tblPr>
        <w:tblStyle w:val="Grilledutableau"/>
        <w:tblW w:w="0" w:type="auto"/>
        <w:tblLook w:val="04A0" w:firstRow="1" w:lastRow="0" w:firstColumn="1" w:lastColumn="0" w:noHBand="0" w:noVBand="1"/>
      </w:tblPr>
      <w:tblGrid>
        <w:gridCol w:w="1701"/>
        <w:gridCol w:w="1826"/>
      </w:tblGrid>
      <w:tr w:rsidR="00DC590F" w14:paraId="3C1C60B0" w14:textId="75648210" w:rsidTr="00E40875">
        <w:tc>
          <w:tcPr>
            <w:tcW w:w="1701" w:type="dxa"/>
          </w:tcPr>
          <w:p w14:paraId="128F6296" w14:textId="229134AC" w:rsidR="00DC590F" w:rsidRDefault="00DC590F" w:rsidP="00E40875">
            <w:pPr>
              <w:autoSpaceDE w:val="0"/>
              <w:autoSpaceDN w:val="0"/>
              <w:adjustRightInd w:val="0"/>
              <w:jc w:val="center"/>
              <w:rPr>
                <w:b/>
                <w:sz w:val="22"/>
                <w:szCs w:val="22"/>
              </w:rPr>
            </w:pPr>
            <w:r>
              <w:rPr>
                <w:b/>
                <w:sz w:val="22"/>
                <w:szCs w:val="22"/>
              </w:rPr>
              <w:t>N° de marché</w:t>
            </w:r>
          </w:p>
        </w:tc>
        <w:tc>
          <w:tcPr>
            <w:tcW w:w="1826" w:type="dxa"/>
          </w:tcPr>
          <w:p w14:paraId="21C5CB7E" w14:textId="2BD0548C" w:rsidR="00DC590F" w:rsidRDefault="00DC590F" w:rsidP="00E40875">
            <w:pPr>
              <w:autoSpaceDE w:val="0"/>
              <w:autoSpaceDN w:val="0"/>
              <w:adjustRightInd w:val="0"/>
              <w:jc w:val="center"/>
              <w:rPr>
                <w:b/>
                <w:sz w:val="22"/>
                <w:szCs w:val="22"/>
              </w:rPr>
            </w:pPr>
            <w:r>
              <w:rPr>
                <w:b/>
                <w:sz w:val="22"/>
                <w:szCs w:val="22"/>
              </w:rPr>
              <w:t>N° d’EJ à BdC</w:t>
            </w:r>
          </w:p>
        </w:tc>
      </w:tr>
      <w:tr w:rsidR="00DC590F" w14:paraId="0DA67E34" w14:textId="13B0ED9B" w:rsidTr="00E40875">
        <w:tc>
          <w:tcPr>
            <w:tcW w:w="1701" w:type="dxa"/>
          </w:tcPr>
          <w:p w14:paraId="0FAE9CFA" w14:textId="025C0AF9" w:rsidR="00DC590F" w:rsidRDefault="00DC590F" w:rsidP="00E40875">
            <w:pPr>
              <w:autoSpaceDE w:val="0"/>
              <w:autoSpaceDN w:val="0"/>
              <w:adjustRightInd w:val="0"/>
              <w:jc w:val="center"/>
              <w:rPr>
                <w:b/>
                <w:sz w:val="22"/>
                <w:szCs w:val="22"/>
              </w:rPr>
            </w:pPr>
            <w:r>
              <w:rPr>
                <w:b/>
                <w:sz w:val="22"/>
                <w:szCs w:val="22"/>
              </w:rPr>
              <w:t>25-EP-1001</w:t>
            </w:r>
          </w:p>
        </w:tc>
        <w:tc>
          <w:tcPr>
            <w:tcW w:w="1826" w:type="dxa"/>
          </w:tcPr>
          <w:p w14:paraId="38C8E283" w14:textId="6129EFB9" w:rsidR="00DC590F" w:rsidRDefault="00DC590F" w:rsidP="00E40875">
            <w:pPr>
              <w:autoSpaceDE w:val="0"/>
              <w:autoSpaceDN w:val="0"/>
              <w:adjustRightInd w:val="0"/>
              <w:jc w:val="center"/>
              <w:rPr>
                <w:b/>
                <w:sz w:val="22"/>
                <w:szCs w:val="22"/>
              </w:rPr>
            </w:pPr>
          </w:p>
        </w:tc>
      </w:tr>
    </w:tbl>
    <w:p w14:paraId="26508D38" w14:textId="77777777" w:rsidR="00A040E0" w:rsidRPr="00DE1184" w:rsidRDefault="00A040E0" w:rsidP="00A040E0">
      <w:pPr>
        <w:tabs>
          <w:tab w:val="left" w:pos="9072"/>
        </w:tabs>
        <w:ind w:right="283"/>
        <w:jc w:val="both"/>
        <w:rPr>
          <w:b/>
          <w:sz w:val="22"/>
          <w:szCs w:val="22"/>
        </w:rPr>
      </w:pPr>
    </w:p>
    <w:p w14:paraId="7B4669FE" w14:textId="3DFCA3F7" w:rsidR="00A040E0" w:rsidRPr="00DE1184" w:rsidRDefault="00A040E0" w:rsidP="00A040E0">
      <w:pPr>
        <w:tabs>
          <w:tab w:val="left" w:pos="9072"/>
        </w:tabs>
        <w:ind w:right="283"/>
        <w:jc w:val="both"/>
        <w:rPr>
          <w:b/>
          <w:sz w:val="22"/>
          <w:szCs w:val="22"/>
        </w:rPr>
      </w:pPr>
      <w:r w:rsidRPr="00DE1184">
        <w:rPr>
          <w:b/>
          <w:sz w:val="22"/>
          <w:szCs w:val="22"/>
        </w:rPr>
        <w:t>Date de notification du marché</w:t>
      </w:r>
      <w:r w:rsidRPr="00DE1184">
        <w:rPr>
          <w:sz w:val="22"/>
          <w:szCs w:val="22"/>
        </w:rPr>
        <w:t> </w:t>
      </w:r>
      <w:r w:rsidRPr="00DE1184">
        <w:rPr>
          <w:b/>
          <w:sz w:val="22"/>
          <w:szCs w:val="22"/>
        </w:rPr>
        <w:t>:</w:t>
      </w:r>
      <w:r w:rsidR="00E956D8">
        <w:rPr>
          <w:b/>
          <w:sz w:val="22"/>
          <w:szCs w:val="22"/>
        </w:rPr>
        <w:t xml:space="preserve"> </w:t>
      </w:r>
    </w:p>
    <w:p w14:paraId="575D2E82" w14:textId="77777777" w:rsidR="00A040E0" w:rsidRPr="00DE1184" w:rsidRDefault="00A040E0" w:rsidP="00A040E0">
      <w:pPr>
        <w:tabs>
          <w:tab w:val="left" w:pos="9072"/>
        </w:tabs>
        <w:ind w:right="283"/>
        <w:jc w:val="both"/>
        <w:rPr>
          <w:b/>
          <w:sz w:val="22"/>
          <w:szCs w:val="22"/>
        </w:rPr>
      </w:pPr>
    </w:p>
    <w:p w14:paraId="2CCE072C" w14:textId="2CA00D6F" w:rsidR="00A040E0" w:rsidRPr="00274AE3" w:rsidRDefault="00A040E0" w:rsidP="004D4A8E">
      <w:pPr>
        <w:tabs>
          <w:tab w:val="left" w:pos="9072"/>
        </w:tabs>
        <w:spacing w:after="120"/>
        <w:ind w:right="283"/>
        <w:jc w:val="both"/>
        <w:rPr>
          <w:sz w:val="22"/>
          <w:szCs w:val="22"/>
        </w:rPr>
      </w:pPr>
      <w:r w:rsidRPr="00DE1184">
        <w:rPr>
          <w:b/>
          <w:sz w:val="22"/>
          <w:szCs w:val="22"/>
        </w:rPr>
        <w:t xml:space="preserve">SIRET </w:t>
      </w:r>
      <w:r w:rsidRPr="00DE1184">
        <w:rPr>
          <w:i/>
          <w:sz w:val="22"/>
          <w:szCs w:val="22"/>
        </w:rPr>
        <w:t>(administration)</w:t>
      </w:r>
      <w:r w:rsidRPr="00274AE3">
        <w:rPr>
          <w:sz w:val="22"/>
          <w:szCs w:val="22"/>
        </w:rPr>
        <w:t> :</w:t>
      </w:r>
      <w:r w:rsidR="00274AE3">
        <w:rPr>
          <w:sz w:val="22"/>
          <w:szCs w:val="22"/>
        </w:rPr>
        <w:t xml:space="preserve"> </w:t>
      </w:r>
    </w:p>
    <w:p w14:paraId="522847E8" w14:textId="6A8F3C6D" w:rsidR="00A040E0" w:rsidRPr="00DE1184" w:rsidRDefault="00A040E0" w:rsidP="004D4A8E">
      <w:pPr>
        <w:autoSpaceDE w:val="0"/>
        <w:autoSpaceDN w:val="0"/>
        <w:adjustRightInd w:val="0"/>
        <w:spacing w:after="120"/>
        <w:rPr>
          <w:sz w:val="22"/>
          <w:szCs w:val="22"/>
        </w:rPr>
      </w:pPr>
      <w:r w:rsidRPr="00DE1184">
        <w:rPr>
          <w:b/>
          <w:sz w:val="22"/>
          <w:szCs w:val="22"/>
        </w:rPr>
        <w:t xml:space="preserve">Code CPV : </w:t>
      </w:r>
      <w:r w:rsidR="00370281">
        <w:rPr>
          <w:b/>
          <w:sz w:val="22"/>
          <w:szCs w:val="22"/>
        </w:rPr>
        <w:t>72267000-4 (Service de maintenance et de réparation de logiciels)</w:t>
      </w:r>
    </w:p>
    <w:p w14:paraId="44F64F42" w14:textId="3D9653E7" w:rsidR="00A040E0" w:rsidRPr="00274AE3" w:rsidRDefault="00A040E0" w:rsidP="004D4A8E">
      <w:pPr>
        <w:autoSpaceDE w:val="0"/>
        <w:autoSpaceDN w:val="0"/>
        <w:adjustRightInd w:val="0"/>
        <w:spacing w:after="120"/>
        <w:rPr>
          <w:b/>
          <w:szCs w:val="22"/>
        </w:rPr>
      </w:pPr>
      <w:r w:rsidRPr="00DE1184">
        <w:rPr>
          <w:b/>
          <w:sz w:val="22"/>
          <w:szCs w:val="22"/>
        </w:rPr>
        <w:t xml:space="preserve">Code GM : </w:t>
      </w:r>
      <w:r w:rsidR="00370281">
        <w:rPr>
          <w:b/>
          <w:sz w:val="22"/>
          <w:szCs w:val="22"/>
        </w:rPr>
        <w:t>33.04.09 (TMA)</w:t>
      </w:r>
    </w:p>
    <w:p w14:paraId="384B8280" w14:textId="77777777" w:rsidR="00A040E0" w:rsidRDefault="00A040E0" w:rsidP="00A040E0">
      <w:pPr>
        <w:tabs>
          <w:tab w:val="left" w:pos="9072"/>
        </w:tabs>
        <w:ind w:right="283"/>
        <w:jc w:val="both"/>
        <w:rPr>
          <w:i/>
          <w:sz w:val="22"/>
          <w:szCs w:val="22"/>
        </w:rPr>
      </w:pPr>
    </w:p>
    <w:p w14:paraId="43DA3514" w14:textId="4DA346D3" w:rsidR="00A040E0" w:rsidRDefault="00A040E0" w:rsidP="004D4A8E">
      <w:pPr>
        <w:tabs>
          <w:tab w:val="left" w:pos="9072"/>
        </w:tabs>
        <w:spacing w:after="120"/>
        <w:ind w:right="283"/>
        <w:jc w:val="both"/>
        <w:rPr>
          <w:sz w:val="22"/>
          <w:szCs w:val="22"/>
        </w:rPr>
      </w:pPr>
      <w:r w:rsidRPr="00E246FF">
        <w:rPr>
          <w:b/>
          <w:sz w:val="22"/>
          <w:szCs w:val="22"/>
        </w:rPr>
        <w:t>Mode d’exécution</w:t>
      </w:r>
      <w:r>
        <w:rPr>
          <w:sz w:val="22"/>
          <w:szCs w:val="22"/>
        </w:rPr>
        <w:t xml:space="preserve"> : </w:t>
      </w:r>
      <w:r w:rsidRPr="00274AE3">
        <w:rPr>
          <w:sz w:val="22"/>
          <w:szCs w:val="22"/>
        </w:rPr>
        <w:t>accord-cadre à bons de commande</w:t>
      </w:r>
      <w:r w:rsidR="00DC590F">
        <w:rPr>
          <w:sz w:val="22"/>
          <w:szCs w:val="22"/>
        </w:rPr>
        <w:t>s.</w:t>
      </w:r>
    </w:p>
    <w:p w14:paraId="26381A71" w14:textId="4B57B056" w:rsidR="009C4B82" w:rsidRPr="009C4B82" w:rsidRDefault="00A040E0" w:rsidP="004D4A8E">
      <w:pPr>
        <w:tabs>
          <w:tab w:val="left" w:pos="9072"/>
        </w:tabs>
        <w:spacing w:after="120"/>
        <w:ind w:right="283"/>
        <w:jc w:val="both"/>
        <w:rPr>
          <w:b/>
          <w:sz w:val="22"/>
          <w:szCs w:val="22"/>
        </w:rPr>
      </w:pPr>
      <w:r w:rsidRPr="00E246FF">
        <w:rPr>
          <w:b/>
          <w:sz w:val="22"/>
          <w:szCs w:val="22"/>
        </w:rPr>
        <w:t>Montant maximum</w:t>
      </w:r>
      <w:r w:rsidR="00DC590F">
        <w:rPr>
          <w:b/>
          <w:sz w:val="22"/>
          <w:szCs w:val="22"/>
        </w:rPr>
        <w:t xml:space="preserve"> du </w:t>
      </w:r>
      <w:r w:rsidR="00F7269A">
        <w:rPr>
          <w:b/>
          <w:sz w:val="22"/>
          <w:szCs w:val="22"/>
        </w:rPr>
        <w:t xml:space="preserve">marché </w:t>
      </w:r>
      <w:r w:rsidR="00F7269A" w:rsidRPr="009C4B82">
        <w:rPr>
          <w:b/>
          <w:sz w:val="22"/>
          <w:szCs w:val="22"/>
        </w:rPr>
        <w:t>:</w:t>
      </w:r>
      <w:r w:rsidR="005E366C" w:rsidRPr="009C4B82">
        <w:rPr>
          <w:b/>
          <w:sz w:val="22"/>
          <w:szCs w:val="22"/>
        </w:rPr>
        <w:t xml:space="preserve"> </w:t>
      </w:r>
      <w:r w:rsidR="00DC590F" w:rsidRPr="00F7269A">
        <w:rPr>
          <w:sz w:val="22"/>
          <w:szCs w:val="22"/>
        </w:rPr>
        <w:t>200 000</w:t>
      </w:r>
      <w:r w:rsidR="009C4B82" w:rsidRPr="00F7269A">
        <w:rPr>
          <w:sz w:val="22"/>
          <w:szCs w:val="22"/>
        </w:rPr>
        <w:t xml:space="preserve"> euros HT</w:t>
      </w:r>
      <w:r w:rsidR="00BA7F2B" w:rsidRPr="00F7269A">
        <w:rPr>
          <w:sz w:val="22"/>
          <w:szCs w:val="22"/>
        </w:rPr>
        <w:t xml:space="preserve"> </w:t>
      </w:r>
      <w:r w:rsidR="00370281" w:rsidRPr="00F7269A">
        <w:rPr>
          <w:i/>
          <w:sz w:val="22"/>
          <w:szCs w:val="22"/>
        </w:rPr>
        <w:t>soit 50 000 €/ an</w:t>
      </w:r>
    </w:p>
    <w:p w14:paraId="5F609069" w14:textId="5E480DFC" w:rsidR="00A040E0" w:rsidRDefault="00A040E0" w:rsidP="004D4A8E">
      <w:pPr>
        <w:tabs>
          <w:tab w:val="left" w:pos="9072"/>
        </w:tabs>
        <w:spacing w:after="120"/>
        <w:ind w:right="283"/>
        <w:jc w:val="both"/>
        <w:rPr>
          <w:sz w:val="22"/>
          <w:szCs w:val="22"/>
        </w:rPr>
      </w:pPr>
      <w:r w:rsidRPr="00E246FF">
        <w:rPr>
          <w:b/>
          <w:sz w:val="22"/>
          <w:szCs w:val="22"/>
        </w:rPr>
        <w:t>Durée</w:t>
      </w:r>
      <w:r>
        <w:rPr>
          <w:sz w:val="22"/>
          <w:szCs w:val="22"/>
        </w:rPr>
        <w:t xml:space="preserve"> (initiale et reconductions éventuelles)</w:t>
      </w:r>
      <w:r w:rsidR="00303FE1">
        <w:rPr>
          <w:sz w:val="22"/>
          <w:szCs w:val="22"/>
        </w:rPr>
        <w:t> </w:t>
      </w:r>
      <w:r w:rsidR="00303FE1" w:rsidRPr="00303FE1">
        <w:rPr>
          <w:b/>
          <w:sz w:val="22"/>
          <w:szCs w:val="22"/>
        </w:rPr>
        <w:t>:</w:t>
      </w:r>
      <w:r>
        <w:rPr>
          <w:sz w:val="22"/>
          <w:szCs w:val="22"/>
        </w:rPr>
        <w:t> </w:t>
      </w:r>
      <w:r w:rsidR="00DC590F">
        <w:rPr>
          <w:sz w:val="22"/>
          <w:szCs w:val="22"/>
        </w:rPr>
        <w:t>1 an</w:t>
      </w:r>
      <w:r w:rsidR="00303FE1">
        <w:rPr>
          <w:sz w:val="22"/>
          <w:szCs w:val="22"/>
        </w:rPr>
        <w:t xml:space="preserve"> + 3 x 1 a</w:t>
      </w:r>
      <w:r w:rsidR="00DC590F">
        <w:rPr>
          <w:sz w:val="22"/>
          <w:szCs w:val="22"/>
        </w:rPr>
        <w:t>n, soit une durée maximale de 48</w:t>
      </w:r>
      <w:r w:rsidR="00303FE1">
        <w:rPr>
          <w:sz w:val="22"/>
          <w:szCs w:val="22"/>
        </w:rPr>
        <w:t xml:space="preserve"> mois.</w:t>
      </w:r>
    </w:p>
    <w:p w14:paraId="53E45767" w14:textId="019860A1" w:rsidR="00DC590F" w:rsidRDefault="00A040E0" w:rsidP="00DC590F">
      <w:pPr>
        <w:tabs>
          <w:tab w:val="left" w:pos="1560"/>
          <w:tab w:val="left" w:pos="9072"/>
        </w:tabs>
        <w:ind w:right="283"/>
        <w:jc w:val="both"/>
        <w:rPr>
          <w:sz w:val="22"/>
          <w:szCs w:val="22"/>
        </w:rPr>
      </w:pPr>
      <w:r w:rsidRPr="00D251B1">
        <w:rPr>
          <w:b/>
          <w:sz w:val="22"/>
          <w:szCs w:val="22"/>
        </w:rPr>
        <w:t>Forme des prix :</w:t>
      </w:r>
      <w:r>
        <w:rPr>
          <w:sz w:val="22"/>
          <w:szCs w:val="22"/>
        </w:rPr>
        <w:t xml:space="preserve"> </w:t>
      </w:r>
      <w:r w:rsidR="00DC590F">
        <w:rPr>
          <w:sz w:val="22"/>
          <w:szCs w:val="22"/>
        </w:rPr>
        <w:t>BPF : bordereau de prix forfaitaires. Les prix sont révisés annuellement à la date d’anniversaire de l’accord-cadre.</w:t>
      </w:r>
    </w:p>
    <w:p w14:paraId="79F9E826" w14:textId="0D4D71F7" w:rsidR="00A040E0" w:rsidRDefault="00B67105" w:rsidP="00B67105">
      <w:pPr>
        <w:tabs>
          <w:tab w:val="left" w:pos="1701"/>
        </w:tabs>
        <w:ind w:right="283"/>
        <w:jc w:val="both"/>
        <w:rPr>
          <w:sz w:val="22"/>
          <w:szCs w:val="22"/>
        </w:rPr>
      </w:pPr>
      <w:r>
        <w:rPr>
          <w:sz w:val="22"/>
          <w:szCs w:val="22"/>
        </w:rPr>
        <w:tab/>
      </w:r>
    </w:p>
    <w:p w14:paraId="72E0CBD2" w14:textId="77777777" w:rsidR="00C63BA5" w:rsidRDefault="00C63BA5" w:rsidP="004D4A8E">
      <w:pPr>
        <w:tabs>
          <w:tab w:val="left" w:pos="9072"/>
        </w:tabs>
        <w:spacing w:after="120"/>
        <w:ind w:right="283"/>
        <w:jc w:val="both"/>
        <w:rPr>
          <w:b/>
          <w:sz w:val="22"/>
          <w:szCs w:val="22"/>
        </w:rPr>
      </w:pPr>
    </w:p>
    <w:p w14:paraId="0CE4DC1E" w14:textId="1C7941DF" w:rsidR="007E761E" w:rsidRPr="00D251B1" w:rsidRDefault="007E761E" w:rsidP="004D4A8E">
      <w:pPr>
        <w:tabs>
          <w:tab w:val="left" w:pos="9072"/>
        </w:tabs>
        <w:spacing w:after="120"/>
        <w:ind w:right="283"/>
        <w:jc w:val="both"/>
        <w:rPr>
          <w:b/>
          <w:sz w:val="22"/>
          <w:szCs w:val="22"/>
        </w:rPr>
      </w:pPr>
      <w:r>
        <w:rPr>
          <w:b/>
          <w:sz w:val="22"/>
          <w:szCs w:val="22"/>
        </w:rPr>
        <w:t>T</w:t>
      </w:r>
      <w:r w:rsidR="00A040E0" w:rsidRPr="00D251B1">
        <w:rPr>
          <w:b/>
          <w:sz w:val="22"/>
          <w:szCs w:val="22"/>
        </w:rPr>
        <w:t>itulaire du marché </w:t>
      </w:r>
      <w:r w:rsidR="00E7490B">
        <w:rPr>
          <w:b/>
          <w:sz w:val="22"/>
          <w:szCs w:val="22"/>
        </w:rPr>
        <w:t xml:space="preserve">(mandataire) </w:t>
      </w:r>
      <w:r w:rsidR="00A040E0" w:rsidRPr="00D251B1">
        <w:rPr>
          <w:b/>
          <w:sz w:val="22"/>
          <w:szCs w:val="22"/>
        </w:rPr>
        <w:t>:</w:t>
      </w:r>
      <w:r w:rsidR="00B67105">
        <w:rPr>
          <w:b/>
          <w:sz w:val="22"/>
          <w:szCs w:val="22"/>
        </w:rPr>
        <w:t xml:space="preserve"> </w:t>
      </w:r>
      <w:r w:rsidR="00C63BA5">
        <w:rPr>
          <w:sz w:val="22"/>
          <w:szCs w:val="22"/>
        </w:rPr>
        <w:t>……………………</w:t>
      </w:r>
      <w:r w:rsidRPr="007E761E">
        <w:rPr>
          <w:b/>
          <w:sz w:val="22"/>
          <w:szCs w:val="22"/>
        </w:rPr>
        <w:t xml:space="preserve"> </w:t>
      </w:r>
      <w:r w:rsidRPr="00D251B1">
        <w:rPr>
          <w:b/>
          <w:sz w:val="22"/>
          <w:szCs w:val="22"/>
        </w:rPr>
        <w:t>N° SIRET titulaire :</w:t>
      </w:r>
      <w:r>
        <w:rPr>
          <w:b/>
          <w:sz w:val="22"/>
          <w:szCs w:val="22"/>
        </w:rPr>
        <w:t xml:space="preserve"> </w:t>
      </w:r>
      <w:r w:rsidR="00C63BA5">
        <w:rPr>
          <w:sz w:val="22"/>
          <w:szCs w:val="22"/>
        </w:rPr>
        <w:t>……………………</w:t>
      </w:r>
    </w:p>
    <w:p w14:paraId="4EA6E08D" w14:textId="32154ECE" w:rsidR="00A040E0" w:rsidRDefault="00B67105" w:rsidP="004D4A8E">
      <w:pPr>
        <w:tabs>
          <w:tab w:val="left" w:pos="9072"/>
        </w:tabs>
        <w:spacing w:after="120"/>
        <w:ind w:right="283"/>
        <w:jc w:val="both"/>
        <w:rPr>
          <w:sz w:val="22"/>
          <w:szCs w:val="22"/>
        </w:rPr>
      </w:pPr>
      <w:r w:rsidRPr="00B67105">
        <w:rPr>
          <w:b/>
          <w:sz w:val="22"/>
          <w:szCs w:val="22"/>
        </w:rPr>
        <w:t>GME :</w:t>
      </w:r>
      <w:r>
        <w:rPr>
          <w:sz w:val="22"/>
          <w:szCs w:val="22"/>
        </w:rPr>
        <w:t xml:space="preserve"> </w:t>
      </w:r>
      <w:r w:rsidR="00C63BA5">
        <w:rPr>
          <w:sz w:val="22"/>
          <w:szCs w:val="22"/>
        </w:rPr>
        <w:t>Raison sociale</w:t>
      </w:r>
      <w:r>
        <w:rPr>
          <w:sz w:val="22"/>
          <w:szCs w:val="22"/>
        </w:rPr>
        <w:t xml:space="preserve"> (</w:t>
      </w:r>
      <w:r w:rsidR="00C63BA5">
        <w:rPr>
          <w:sz w:val="22"/>
          <w:szCs w:val="22"/>
        </w:rPr>
        <w:t>SIRET cotraitant 1</w:t>
      </w:r>
      <w:r>
        <w:rPr>
          <w:sz w:val="22"/>
          <w:szCs w:val="22"/>
        </w:rPr>
        <w:t xml:space="preserve">) ; </w:t>
      </w:r>
      <w:r w:rsidR="00C63BA5">
        <w:rPr>
          <w:sz w:val="22"/>
          <w:szCs w:val="22"/>
        </w:rPr>
        <w:t>Raison sociale (SIRET cotraitant 2) </w:t>
      </w:r>
      <w:r>
        <w:rPr>
          <w:sz w:val="22"/>
          <w:szCs w:val="22"/>
        </w:rPr>
        <w:t xml:space="preserve">; </w:t>
      </w:r>
      <w:r w:rsidR="00C63BA5">
        <w:rPr>
          <w:sz w:val="22"/>
          <w:szCs w:val="22"/>
        </w:rPr>
        <w:t>Raison sociale (SIRET cotraitant y)</w:t>
      </w:r>
      <w:r w:rsidR="00E21785">
        <w:rPr>
          <w:sz w:val="22"/>
          <w:szCs w:val="22"/>
        </w:rPr>
        <w:t>.</w:t>
      </w:r>
    </w:p>
    <w:p w14:paraId="73016DF1" w14:textId="77777777" w:rsidR="00A040E0" w:rsidRDefault="00A040E0" w:rsidP="00A040E0">
      <w:pPr>
        <w:tabs>
          <w:tab w:val="left" w:pos="9072"/>
        </w:tabs>
        <w:ind w:right="283"/>
        <w:jc w:val="both"/>
        <w:rPr>
          <w:sz w:val="22"/>
          <w:szCs w:val="22"/>
        </w:rPr>
      </w:pPr>
      <w:r w:rsidRPr="00D251B1">
        <w:rPr>
          <w:b/>
          <w:sz w:val="22"/>
          <w:szCs w:val="22"/>
        </w:rPr>
        <w:t>Sous-traitance</w:t>
      </w:r>
      <w:r>
        <w:rPr>
          <w:sz w:val="22"/>
          <w:szCs w:val="22"/>
        </w:rPr>
        <w:t xml:space="preserve"> </w:t>
      </w:r>
      <w:r w:rsidRPr="00D251B1">
        <w:rPr>
          <w:i/>
          <w:sz w:val="22"/>
          <w:szCs w:val="22"/>
        </w:rPr>
        <w:t>(le cas échéant)</w:t>
      </w:r>
      <w:r>
        <w:rPr>
          <w:sz w:val="22"/>
          <w:szCs w:val="22"/>
        </w:rPr>
        <w:t> </w:t>
      </w:r>
      <w:r w:rsidRPr="00DE1184">
        <w:rPr>
          <w:b/>
          <w:sz w:val="22"/>
          <w:szCs w:val="22"/>
        </w:rPr>
        <w:t xml:space="preserve">: </w:t>
      </w:r>
    </w:p>
    <w:p w14:paraId="18E3A5E6" w14:textId="77777777" w:rsidR="00A040E0" w:rsidRDefault="00A040E0" w:rsidP="00A040E0">
      <w:pPr>
        <w:tabs>
          <w:tab w:val="left" w:pos="9072"/>
        </w:tabs>
        <w:ind w:right="283"/>
        <w:jc w:val="both"/>
        <w:rPr>
          <w:sz w:val="22"/>
          <w:szCs w:val="22"/>
        </w:rPr>
      </w:pPr>
    </w:p>
    <w:p w14:paraId="70601908" w14:textId="7F51C16E" w:rsidR="00A040E0" w:rsidRDefault="00A040E0" w:rsidP="00A040E0">
      <w:pPr>
        <w:tabs>
          <w:tab w:val="left" w:pos="9072"/>
        </w:tabs>
        <w:ind w:right="283"/>
        <w:jc w:val="both"/>
        <w:rPr>
          <w:sz w:val="22"/>
          <w:szCs w:val="22"/>
        </w:rPr>
      </w:pPr>
      <w:r w:rsidRPr="00DE1184">
        <w:rPr>
          <w:b/>
          <w:sz w:val="22"/>
          <w:szCs w:val="22"/>
        </w:rPr>
        <w:t>Conditions de paiement :</w:t>
      </w:r>
      <w:r>
        <w:rPr>
          <w:sz w:val="22"/>
          <w:szCs w:val="22"/>
        </w:rPr>
        <w:t xml:space="preserve"> </w:t>
      </w:r>
      <w:r w:rsidR="005E366C" w:rsidRPr="00E21785">
        <w:rPr>
          <w:sz w:val="22"/>
          <w:szCs w:val="22"/>
          <w:u w:val="single"/>
        </w:rPr>
        <w:t>Avance</w:t>
      </w:r>
      <w:r w:rsidR="00E21785" w:rsidRPr="00E21785">
        <w:rPr>
          <w:sz w:val="22"/>
          <w:szCs w:val="22"/>
          <w:u w:val="single"/>
        </w:rPr>
        <w:t xml:space="preserve"> : </w:t>
      </w:r>
      <w:r w:rsidR="00DC590F" w:rsidRPr="00F7269A">
        <w:rPr>
          <w:sz w:val="22"/>
          <w:szCs w:val="22"/>
        </w:rPr>
        <w:t>non</w:t>
      </w:r>
    </w:p>
    <w:p w14:paraId="31AD35C1" w14:textId="77777777" w:rsidR="00A040E0" w:rsidRDefault="00A040E0" w:rsidP="00A040E0">
      <w:pPr>
        <w:tabs>
          <w:tab w:val="left" w:pos="9072"/>
        </w:tabs>
        <w:ind w:right="283"/>
        <w:jc w:val="both"/>
        <w:rPr>
          <w:sz w:val="22"/>
          <w:szCs w:val="22"/>
        </w:rPr>
      </w:pPr>
    </w:p>
    <w:p w14:paraId="24EE3E33" w14:textId="77777777" w:rsidR="007E761E" w:rsidRDefault="007E761E" w:rsidP="00A040E0">
      <w:pPr>
        <w:tabs>
          <w:tab w:val="left" w:pos="2520"/>
        </w:tabs>
        <w:ind w:left="-57" w:right="-57"/>
        <w:jc w:val="both"/>
        <w:rPr>
          <w:i/>
          <w:sz w:val="22"/>
          <w:szCs w:val="22"/>
        </w:rPr>
        <w:sectPr w:rsidR="007E761E" w:rsidSect="00E21785">
          <w:footerReference w:type="default" r:id="rId7"/>
          <w:pgSz w:w="12240" w:h="15840"/>
          <w:pgMar w:top="719" w:right="758" w:bottom="899" w:left="851" w:header="720" w:footer="720" w:gutter="0"/>
          <w:cols w:space="720"/>
          <w:noEndnote/>
        </w:sectPr>
      </w:pPr>
    </w:p>
    <w:p w14:paraId="617F27D4" w14:textId="799E7883" w:rsidR="003D55AF" w:rsidRPr="007E761E" w:rsidRDefault="003D55AF" w:rsidP="003D55AF">
      <w:pPr>
        <w:tabs>
          <w:tab w:val="left" w:pos="2520"/>
        </w:tabs>
        <w:ind w:left="-57" w:right="-57"/>
        <w:jc w:val="both"/>
        <w:rPr>
          <w:b/>
          <w:i/>
          <w:sz w:val="22"/>
          <w:szCs w:val="22"/>
        </w:rPr>
      </w:pPr>
      <w:r w:rsidRPr="007E761E">
        <w:rPr>
          <w:b/>
          <w:i/>
          <w:sz w:val="22"/>
          <w:szCs w:val="22"/>
        </w:rPr>
        <w:t>Données comptabilité auxiliaire des immobilisations :</w:t>
      </w:r>
    </w:p>
    <w:p w14:paraId="6627ECD8" w14:textId="4608490C" w:rsidR="003D55AF" w:rsidRPr="00CD1ADD" w:rsidRDefault="003D55AF" w:rsidP="003D55AF">
      <w:pPr>
        <w:tabs>
          <w:tab w:val="left" w:pos="2520"/>
        </w:tabs>
        <w:ind w:left="-57" w:right="-57"/>
        <w:jc w:val="both"/>
        <w:rPr>
          <w:sz w:val="22"/>
          <w:szCs w:val="22"/>
        </w:rPr>
      </w:pPr>
      <w:r w:rsidRPr="00CD1ADD">
        <w:rPr>
          <w:sz w:val="22"/>
          <w:szCs w:val="22"/>
        </w:rPr>
        <w:t>Titre :</w:t>
      </w:r>
      <w:r w:rsidR="00370281">
        <w:rPr>
          <w:sz w:val="22"/>
          <w:szCs w:val="22"/>
        </w:rPr>
        <w:t xml:space="preserve"> </w:t>
      </w:r>
      <w:r w:rsidRPr="00CD1ADD">
        <w:rPr>
          <w:sz w:val="22"/>
          <w:szCs w:val="22"/>
        </w:rPr>
        <w:tab/>
      </w:r>
    </w:p>
    <w:p w14:paraId="24B60BD6" w14:textId="0CE39149" w:rsidR="003D55AF" w:rsidRPr="00CD1ADD" w:rsidRDefault="003D55AF" w:rsidP="003D55AF">
      <w:pPr>
        <w:tabs>
          <w:tab w:val="left" w:pos="2520"/>
        </w:tabs>
        <w:ind w:left="-57" w:right="-57"/>
        <w:jc w:val="both"/>
        <w:rPr>
          <w:sz w:val="22"/>
          <w:szCs w:val="22"/>
        </w:rPr>
      </w:pPr>
      <w:r w:rsidRPr="00CD1ADD">
        <w:rPr>
          <w:sz w:val="22"/>
          <w:szCs w:val="22"/>
        </w:rPr>
        <w:t>N° AC :</w:t>
      </w:r>
      <w:r w:rsidR="006C4ACA">
        <w:rPr>
          <w:sz w:val="22"/>
          <w:szCs w:val="22"/>
        </w:rPr>
        <w:t xml:space="preserve"> </w:t>
      </w:r>
      <w:r w:rsidR="00370281">
        <w:rPr>
          <w:sz w:val="22"/>
          <w:szCs w:val="22"/>
        </w:rPr>
        <w:t>25-EP-1001</w:t>
      </w:r>
      <w:r w:rsidRPr="00CD1ADD">
        <w:rPr>
          <w:sz w:val="22"/>
          <w:szCs w:val="22"/>
        </w:rPr>
        <w:tab/>
      </w:r>
    </w:p>
    <w:p w14:paraId="76F0E3C2" w14:textId="26623A62" w:rsidR="003D55AF" w:rsidRPr="00CD1ADD" w:rsidRDefault="003D55AF" w:rsidP="003D55AF">
      <w:pPr>
        <w:tabs>
          <w:tab w:val="left" w:pos="2520"/>
        </w:tabs>
        <w:ind w:left="-57" w:right="-57"/>
        <w:jc w:val="both"/>
        <w:rPr>
          <w:sz w:val="22"/>
          <w:szCs w:val="22"/>
        </w:rPr>
      </w:pPr>
      <w:r w:rsidRPr="00CD1ADD">
        <w:rPr>
          <w:sz w:val="22"/>
          <w:szCs w:val="22"/>
        </w:rPr>
        <w:tab/>
      </w:r>
    </w:p>
    <w:p w14:paraId="125E9393" w14:textId="5D133D84" w:rsidR="003D55AF" w:rsidRPr="00CD1ADD" w:rsidRDefault="004D4A8E" w:rsidP="00AA1FAB">
      <w:pPr>
        <w:tabs>
          <w:tab w:val="left" w:pos="2520"/>
        </w:tabs>
        <w:ind w:right="-57"/>
        <w:jc w:val="both"/>
        <w:rPr>
          <w:sz w:val="22"/>
          <w:szCs w:val="22"/>
        </w:rPr>
      </w:pPr>
      <w:r w:rsidRPr="00CD1ADD">
        <w:rPr>
          <w:sz w:val="22"/>
          <w:szCs w:val="22"/>
        </w:rPr>
        <w:t xml:space="preserve">N° </w:t>
      </w:r>
      <w:proofErr w:type="spellStart"/>
      <w:r w:rsidRPr="00CD1ADD">
        <w:rPr>
          <w:sz w:val="22"/>
          <w:szCs w:val="22"/>
        </w:rPr>
        <w:t>Cosi</w:t>
      </w:r>
      <w:proofErr w:type="spellEnd"/>
      <w:r w:rsidRPr="00CD1ADD">
        <w:rPr>
          <w:sz w:val="22"/>
          <w:szCs w:val="22"/>
        </w:rPr>
        <w:t xml:space="preserve"> :</w:t>
      </w:r>
      <w:r w:rsidR="003D55AF" w:rsidRPr="00CD1ADD">
        <w:rPr>
          <w:sz w:val="22"/>
          <w:szCs w:val="22"/>
        </w:rPr>
        <w:tab/>
      </w:r>
    </w:p>
    <w:p w14:paraId="5E80CDA6" w14:textId="0691C573" w:rsidR="003D55AF" w:rsidRPr="00AA1FAB" w:rsidRDefault="003D55AF" w:rsidP="00AA1FAB">
      <w:pPr>
        <w:pStyle w:val="Default"/>
      </w:pPr>
      <w:r w:rsidRPr="00AA1FAB">
        <w:rPr>
          <w:rFonts w:ascii="Times New Roman" w:eastAsia="Times New Roman" w:hAnsi="Times New Roman" w:cs="Times New Roman"/>
          <w:color w:val="auto"/>
          <w:sz w:val="22"/>
          <w:szCs w:val="22"/>
          <w:lang w:eastAsia="fr-FR"/>
        </w:rPr>
        <w:t>Elément d’OTP (T5) :</w:t>
      </w:r>
      <w:r w:rsidRPr="00CD1ADD">
        <w:rPr>
          <w:sz w:val="22"/>
          <w:szCs w:val="22"/>
        </w:rPr>
        <w:t xml:space="preserve"> </w:t>
      </w:r>
      <w:r w:rsidR="00370281">
        <w:rPr>
          <w:sz w:val="22"/>
          <w:szCs w:val="22"/>
        </w:rPr>
        <w:t>D-C207-E-CH</w:t>
      </w:r>
    </w:p>
    <w:p w14:paraId="6D933A9E" w14:textId="77777777" w:rsidR="003D55AF" w:rsidRDefault="003D55AF" w:rsidP="003D55AF">
      <w:pPr>
        <w:autoSpaceDE w:val="0"/>
        <w:autoSpaceDN w:val="0"/>
        <w:adjustRightInd w:val="0"/>
        <w:rPr>
          <w:sz w:val="22"/>
          <w:szCs w:val="22"/>
        </w:rPr>
      </w:pPr>
      <w:r w:rsidRPr="00CD1ADD">
        <w:rPr>
          <w:sz w:val="22"/>
          <w:szCs w:val="22"/>
        </w:rPr>
        <w:t xml:space="preserve">N° FIEC </w:t>
      </w:r>
      <w:r w:rsidRPr="00CD1ADD">
        <w:rPr>
          <w:i/>
          <w:sz w:val="18"/>
          <w:szCs w:val="18"/>
        </w:rPr>
        <w:t>(immobilisation)</w:t>
      </w:r>
      <w:r w:rsidRPr="00CD1ADD">
        <w:rPr>
          <w:sz w:val="22"/>
          <w:szCs w:val="22"/>
        </w:rPr>
        <w:t> :</w:t>
      </w:r>
    </w:p>
    <w:p w14:paraId="1D77C577" w14:textId="77777777" w:rsidR="007E761E" w:rsidRDefault="007E761E" w:rsidP="003D55AF">
      <w:pPr>
        <w:autoSpaceDE w:val="0"/>
        <w:autoSpaceDN w:val="0"/>
        <w:adjustRightInd w:val="0"/>
        <w:rPr>
          <w:sz w:val="22"/>
          <w:szCs w:val="26"/>
        </w:rPr>
        <w:sectPr w:rsidR="007E761E" w:rsidSect="007E761E">
          <w:type w:val="continuous"/>
          <w:pgSz w:w="12240" w:h="15840"/>
          <w:pgMar w:top="719" w:right="758" w:bottom="899" w:left="851" w:header="720" w:footer="720" w:gutter="0"/>
          <w:cols w:num="2" w:space="720"/>
          <w:noEndnote/>
        </w:sectPr>
      </w:pPr>
    </w:p>
    <w:p w14:paraId="11143A88" w14:textId="3508C7E7" w:rsidR="00D71D51" w:rsidRDefault="00D71D51" w:rsidP="00D71D51">
      <w:pPr>
        <w:tabs>
          <w:tab w:val="left" w:pos="2520"/>
        </w:tabs>
        <w:ind w:left="-57" w:right="-57"/>
        <w:jc w:val="both"/>
        <w:rPr>
          <w:b/>
          <w:i/>
          <w:sz w:val="22"/>
          <w:szCs w:val="22"/>
        </w:rPr>
      </w:pPr>
      <w:r w:rsidRPr="007E761E">
        <w:rPr>
          <w:b/>
          <w:i/>
          <w:sz w:val="22"/>
          <w:szCs w:val="22"/>
        </w:rPr>
        <w:t>Eléments d’imputations budgétaires :</w:t>
      </w:r>
    </w:p>
    <w:p w14:paraId="2CE9B473" w14:textId="77777777" w:rsidR="00370281" w:rsidRDefault="00370281" w:rsidP="00D71D51">
      <w:pPr>
        <w:tabs>
          <w:tab w:val="left" w:pos="2520"/>
        </w:tabs>
        <w:ind w:left="-57" w:right="-57"/>
        <w:jc w:val="both"/>
        <w:rPr>
          <w:b/>
          <w:i/>
          <w:sz w:val="22"/>
          <w:szCs w:val="22"/>
        </w:rPr>
      </w:pPr>
    </w:p>
    <w:tbl>
      <w:tblPr>
        <w:tblStyle w:val="Grilledutableau"/>
        <w:tblW w:w="0" w:type="auto"/>
        <w:tblInd w:w="-5" w:type="dxa"/>
        <w:tblLook w:val="04A0" w:firstRow="1" w:lastRow="0" w:firstColumn="1" w:lastColumn="0" w:noHBand="0" w:noVBand="1"/>
      </w:tblPr>
      <w:tblGrid>
        <w:gridCol w:w="4334"/>
        <w:gridCol w:w="3288"/>
      </w:tblGrid>
      <w:tr w:rsidR="00370281" w:rsidRPr="00370281" w14:paraId="3B6116B8" w14:textId="77777777" w:rsidTr="00370281">
        <w:tc>
          <w:tcPr>
            <w:tcW w:w="4334" w:type="dxa"/>
          </w:tcPr>
          <w:p w14:paraId="148CDBDA" w14:textId="77777777" w:rsidR="00370281" w:rsidRPr="00370281" w:rsidRDefault="00370281" w:rsidP="00370281">
            <w:pPr>
              <w:tabs>
                <w:tab w:val="left" w:pos="2520"/>
              </w:tabs>
              <w:ind w:left="-57" w:right="-57"/>
              <w:jc w:val="both"/>
              <w:rPr>
                <w:b/>
                <w:i/>
                <w:sz w:val="22"/>
                <w:szCs w:val="22"/>
              </w:rPr>
            </w:pPr>
            <w:r w:rsidRPr="00370281">
              <w:rPr>
                <w:b/>
                <w:i/>
                <w:sz w:val="22"/>
                <w:szCs w:val="22"/>
              </w:rPr>
              <w:t>Programme*</w:t>
            </w:r>
          </w:p>
        </w:tc>
        <w:tc>
          <w:tcPr>
            <w:tcW w:w="3288" w:type="dxa"/>
          </w:tcPr>
          <w:p w14:paraId="7ADAEA72" w14:textId="77777777" w:rsidR="00370281" w:rsidRPr="00370281" w:rsidRDefault="00370281" w:rsidP="00370281">
            <w:pPr>
              <w:tabs>
                <w:tab w:val="left" w:pos="2520"/>
              </w:tabs>
              <w:ind w:left="-57" w:right="-57"/>
              <w:jc w:val="both"/>
              <w:rPr>
                <w:b/>
                <w:i/>
                <w:sz w:val="22"/>
                <w:szCs w:val="22"/>
              </w:rPr>
            </w:pPr>
            <w:r w:rsidRPr="00370281">
              <w:rPr>
                <w:b/>
                <w:i/>
                <w:sz w:val="22"/>
                <w:szCs w:val="22"/>
              </w:rPr>
              <w:t>212 Soutien de la politique de défense</w:t>
            </w:r>
          </w:p>
        </w:tc>
      </w:tr>
      <w:tr w:rsidR="00370281" w:rsidRPr="00370281" w14:paraId="7F72C924" w14:textId="77777777" w:rsidTr="00370281">
        <w:tc>
          <w:tcPr>
            <w:tcW w:w="4334" w:type="dxa"/>
          </w:tcPr>
          <w:p w14:paraId="16B15BB3" w14:textId="77777777" w:rsidR="00370281" w:rsidRPr="00370281" w:rsidRDefault="00370281" w:rsidP="00370281">
            <w:pPr>
              <w:tabs>
                <w:tab w:val="left" w:pos="2520"/>
              </w:tabs>
              <w:ind w:left="-57" w:right="-57"/>
              <w:jc w:val="both"/>
              <w:rPr>
                <w:b/>
                <w:i/>
                <w:sz w:val="22"/>
                <w:szCs w:val="22"/>
              </w:rPr>
            </w:pPr>
            <w:r w:rsidRPr="00370281">
              <w:rPr>
                <w:b/>
                <w:i/>
                <w:sz w:val="22"/>
                <w:szCs w:val="22"/>
              </w:rPr>
              <w:t>Domaine fonctionnel* </w:t>
            </w:r>
          </w:p>
        </w:tc>
        <w:tc>
          <w:tcPr>
            <w:tcW w:w="3288" w:type="dxa"/>
          </w:tcPr>
          <w:p w14:paraId="2D17A71D" w14:textId="77777777" w:rsidR="00370281" w:rsidRPr="00370281" w:rsidRDefault="00370281" w:rsidP="00370281">
            <w:pPr>
              <w:tabs>
                <w:tab w:val="left" w:pos="2520"/>
              </w:tabs>
              <w:ind w:left="-57" w:right="-57"/>
              <w:jc w:val="both"/>
              <w:rPr>
                <w:b/>
                <w:i/>
                <w:sz w:val="22"/>
                <w:szCs w:val="22"/>
              </w:rPr>
            </w:pPr>
            <w:r w:rsidRPr="00370281">
              <w:rPr>
                <w:b/>
                <w:i/>
                <w:sz w:val="22"/>
                <w:szCs w:val="22"/>
              </w:rPr>
              <w:t>D212-05 </w:t>
            </w:r>
          </w:p>
        </w:tc>
      </w:tr>
      <w:tr w:rsidR="00370281" w:rsidRPr="00370281" w14:paraId="0C01F7CE" w14:textId="77777777" w:rsidTr="00370281">
        <w:tc>
          <w:tcPr>
            <w:tcW w:w="4334" w:type="dxa"/>
          </w:tcPr>
          <w:p w14:paraId="719B6076" w14:textId="77777777" w:rsidR="00370281" w:rsidRPr="00370281" w:rsidRDefault="00370281" w:rsidP="00370281">
            <w:pPr>
              <w:tabs>
                <w:tab w:val="left" w:pos="2520"/>
              </w:tabs>
              <w:ind w:left="-57" w:right="-57"/>
              <w:jc w:val="both"/>
              <w:rPr>
                <w:b/>
                <w:i/>
                <w:sz w:val="22"/>
                <w:szCs w:val="22"/>
              </w:rPr>
            </w:pPr>
            <w:r w:rsidRPr="00370281">
              <w:rPr>
                <w:b/>
                <w:i/>
                <w:sz w:val="22"/>
                <w:szCs w:val="22"/>
              </w:rPr>
              <w:t>Centre financier – unité opérationnelle*</w:t>
            </w:r>
          </w:p>
        </w:tc>
        <w:tc>
          <w:tcPr>
            <w:tcW w:w="3288" w:type="dxa"/>
          </w:tcPr>
          <w:p w14:paraId="70D08EC4" w14:textId="77777777" w:rsidR="00370281" w:rsidRPr="00370281" w:rsidRDefault="00370281" w:rsidP="00370281">
            <w:pPr>
              <w:tabs>
                <w:tab w:val="left" w:pos="2520"/>
              </w:tabs>
              <w:ind w:left="-57" w:right="-57"/>
              <w:jc w:val="both"/>
              <w:rPr>
                <w:b/>
                <w:i/>
                <w:sz w:val="22"/>
                <w:szCs w:val="22"/>
              </w:rPr>
            </w:pPr>
            <w:r w:rsidRPr="00370281">
              <w:rPr>
                <w:b/>
                <w:i/>
                <w:sz w:val="22"/>
                <w:szCs w:val="22"/>
              </w:rPr>
              <w:t>212-0070-SI01</w:t>
            </w:r>
          </w:p>
        </w:tc>
      </w:tr>
      <w:tr w:rsidR="00370281" w:rsidRPr="00370281" w14:paraId="1678B703" w14:textId="77777777" w:rsidTr="00370281">
        <w:tc>
          <w:tcPr>
            <w:tcW w:w="4334" w:type="dxa"/>
          </w:tcPr>
          <w:p w14:paraId="428C6464" w14:textId="77777777" w:rsidR="00370281" w:rsidRPr="00370281" w:rsidRDefault="00370281" w:rsidP="00370281">
            <w:pPr>
              <w:tabs>
                <w:tab w:val="left" w:pos="2520"/>
              </w:tabs>
              <w:ind w:left="-57" w:right="-57"/>
              <w:jc w:val="both"/>
              <w:rPr>
                <w:b/>
                <w:i/>
                <w:sz w:val="22"/>
                <w:szCs w:val="22"/>
              </w:rPr>
            </w:pPr>
            <w:r w:rsidRPr="00370281">
              <w:rPr>
                <w:b/>
                <w:i/>
                <w:sz w:val="22"/>
                <w:szCs w:val="22"/>
              </w:rPr>
              <w:t>Centre coût  (service exécutant)*</w:t>
            </w:r>
          </w:p>
        </w:tc>
        <w:tc>
          <w:tcPr>
            <w:tcW w:w="3288" w:type="dxa"/>
          </w:tcPr>
          <w:p w14:paraId="1EF41FE8" w14:textId="77777777" w:rsidR="00370281" w:rsidRPr="00370281" w:rsidRDefault="00370281" w:rsidP="00370281">
            <w:pPr>
              <w:tabs>
                <w:tab w:val="left" w:pos="2520"/>
              </w:tabs>
              <w:ind w:left="-57" w:right="-57"/>
              <w:jc w:val="both"/>
              <w:rPr>
                <w:b/>
                <w:i/>
                <w:sz w:val="22"/>
                <w:szCs w:val="22"/>
              </w:rPr>
            </w:pPr>
            <w:r w:rsidRPr="00370281">
              <w:rPr>
                <w:b/>
                <w:i/>
                <w:sz w:val="22"/>
                <w:szCs w:val="22"/>
              </w:rPr>
              <w:t>D107114078</w:t>
            </w:r>
          </w:p>
        </w:tc>
      </w:tr>
    </w:tbl>
    <w:p w14:paraId="2F3D0082" w14:textId="77777777" w:rsidR="00370281" w:rsidRPr="007E761E" w:rsidRDefault="00370281" w:rsidP="00D71D51">
      <w:pPr>
        <w:tabs>
          <w:tab w:val="left" w:pos="2520"/>
        </w:tabs>
        <w:ind w:left="-57" w:right="-57"/>
        <w:jc w:val="both"/>
        <w:rPr>
          <w:b/>
          <w:i/>
          <w:sz w:val="22"/>
          <w:szCs w:val="22"/>
        </w:rPr>
      </w:pPr>
    </w:p>
    <w:p w14:paraId="21C41A93" w14:textId="77777777" w:rsidR="007E761E" w:rsidRDefault="007E761E" w:rsidP="005E366C">
      <w:pPr>
        <w:tabs>
          <w:tab w:val="left" w:pos="2520"/>
        </w:tabs>
        <w:ind w:left="-57" w:right="-57"/>
        <w:jc w:val="both"/>
        <w:rPr>
          <w:i/>
          <w:sz w:val="22"/>
          <w:szCs w:val="22"/>
        </w:rPr>
      </w:pPr>
    </w:p>
    <w:p w14:paraId="76B287B1" w14:textId="16827F39" w:rsidR="005F5BC8" w:rsidRDefault="003D55AF" w:rsidP="004D4A8E">
      <w:pPr>
        <w:pBdr>
          <w:top w:val="single" w:sz="4" w:space="1" w:color="auto"/>
          <w:left w:val="single" w:sz="4" w:space="4" w:color="auto"/>
          <w:bottom w:val="single" w:sz="4" w:space="1" w:color="auto"/>
          <w:right w:val="single" w:sz="4" w:space="4" w:color="auto"/>
        </w:pBdr>
        <w:tabs>
          <w:tab w:val="left" w:pos="2520"/>
        </w:tabs>
        <w:ind w:left="-57" w:right="-57"/>
        <w:jc w:val="both"/>
        <w:rPr>
          <w:i/>
          <w:sz w:val="22"/>
          <w:szCs w:val="22"/>
        </w:rPr>
      </w:pPr>
      <w:r w:rsidRPr="00D700B9">
        <w:rPr>
          <w:i/>
          <w:sz w:val="22"/>
          <w:szCs w:val="22"/>
        </w:rPr>
        <w:t>Réservé pour « nantissement » :</w:t>
      </w:r>
      <w:r w:rsidRPr="00D700B9">
        <w:rPr>
          <w:i/>
          <w:sz w:val="22"/>
          <w:szCs w:val="22"/>
        </w:rPr>
        <w:tab/>
      </w:r>
    </w:p>
    <w:p w14:paraId="275765C1" w14:textId="5EE771DB" w:rsidR="004D4A8E" w:rsidRDefault="004D4A8E" w:rsidP="004D4A8E">
      <w:pPr>
        <w:pBdr>
          <w:top w:val="single" w:sz="4" w:space="1" w:color="auto"/>
          <w:left w:val="single" w:sz="4" w:space="4" w:color="auto"/>
          <w:bottom w:val="single" w:sz="4" w:space="1" w:color="auto"/>
          <w:right w:val="single" w:sz="4" w:space="4" w:color="auto"/>
        </w:pBdr>
        <w:tabs>
          <w:tab w:val="left" w:pos="2520"/>
        </w:tabs>
        <w:ind w:left="-57" w:right="-57"/>
        <w:jc w:val="both"/>
        <w:rPr>
          <w:i/>
          <w:sz w:val="22"/>
          <w:szCs w:val="22"/>
        </w:rPr>
      </w:pPr>
    </w:p>
    <w:p w14:paraId="7007C91B" w14:textId="4448C28F" w:rsidR="00C63BA5" w:rsidRDefault="00C63BA5" w:rsidP="004D4A8E">
      <w:pPr>
        <w:pBdr>
          <w:top w:val="single" w:sz="4" w:space="1" w:color="auto"/>
          <w:left w:val="single" w:sz="4" w:space="4" w:color="auto"/>
          <w:bottom w:val="single" w:sz="4" w:space="1" w:color="auto"/>
          <w:right w:val="single" w:sz="4" w:space="4" w:color="auto"/>
        </w:pBdr>
        <w:tabs>
          <w:tab w:val="left" w:pos="2520"/>
        </w:tabs>
        <w:ind w:left="-57" w:right="-57"/>
        <w:jc w:val="both"/>
      </w:pPr>
    </w:p>
    <w:p w14:paraId="365CBEA4" w14:textId="1F0A797D" w:rsidR="00C63BA5" w:rsidRDefault="00C63BA5" w:rsidP="00C63BA5"/>
    <w:p w14:paraId="6FE37711" w14:textId="4BE37543" w:rsidR="004D4A8E" w:rsidRDefault="00C63BA5" w:rsidP="00C63BA5">
      <w:pPr>
        <w:tabs>
          <w:tab w:val="left" w:pos="1628"/>
        </w:tabs>
      </w:pPr>
      <w:r>
        <w:tab/>
      </w:r>
    </w:p>
    <w:p w14:paraId="70167AAE" w14:textId="766326F3" w:rsidR="00C63BA5" w:rsidRDefault="00C63BA5" w:rsidP="00C63BA5">
      <w:pPr>
        <w:tabs>
          <w:tab w:val="left" w:pos="1628"/>
        </w:tabs>
      </w:pPr>
    </w:p>
    <w:p w14:paraId="54DA1D81" w14:textId="77777777" w:rsidR="00C01D87" w:rsidRDefault="00C01D87" w:rsidP="00C63BA5">
      <w:pPr>
        <w:tabs>
          <w:tab w:val="left" w:pos="1628"/>
        </w:tabs>
      </w:pPr>
    </w:p>
    <w:p w14:paraId="645FAAAF" w14:textId="75CC9791" w:rsidR="00C63BA5" w:rsidRPr="00C63BA5" w:rsidRDefault="00C63BA5" w:rsidP="00C63BA5">
      <w:pPr>
        <w:tabs>
          <w:tab w:val="left" w:pos="1628"/>
        </w:tabs>
        <w:rPr>
          <w:b/>
          <w:sz w:val="22"/>
          <w:szCs w:val="22"/>
          <w:u w:val="single"/>
        </w:rPr>
      </w:pPr>
      <w:r w:rsidRPr="00C63BA5">
        <w:rPr>
          <w:b/>
          <w:sz w:val="22"/>
          <w:szCs w:val="22"/>
          <w:u w:val="single"/>
        </w:rPr>
        <w:lastRenderedPageBreak/>
        <w:t>Modalité de révision des prix :</w:t>
      </w:r>
    </w:p>
    <w:p w14:paraId="44DF8E29" w14:textId="4F5D97BB" w:rsidR="00C63BA5" w:rsidRPr="00C63BA5" w:rsidRDefault="00C63BA5" w:rsidP="00C63BA5">
      <w:pPr>
        <w:tabs>
          <w:tab w:val="left" w:pos="1628"/>
        </w:tabs>
        <w:rPr>
          <w:sz w:val="22"/>
          <w:szCs w:val="22"/>
        </w:rPr>
      </w:pPr>
      <w:bookmarkStart w:id="0" w:name="_GoBack"/>
      <w:bookmarkEnd w:id="0"/>
    </w:p>
    <w:p w14:paraId="5492BCCB" w14:textId="15EE6516" w:rsidR="00C63BA5" w:rsidRDefault="00C63BA5" w:rsidP="00C63BA5">
      <w:pPr>
        <w:tabs>
          <w:tab w:val="left" w:pos="1628"/>
        </w:tabs>
        <w:rPr>
          <w:b/>
          <w:sz w:val="22"/>
          <w:szCs w:val="22"/>
        </w:rPr>
      </w:pPr>
      <w:r>
        <w:rPr>
          <w:b/>
          <w:sz w:val="22"/>
          <w:szCs w:val="22"/>
        </w:rPr>
        <w:t>De l’accord-cadre :</w:t>
      </w:r>
    </w:p>
    <w:p w14:paraId="2514E2BC" w14:textId="77777777" w:rsidR="00370281" w:rsidRPr="00370281" w:rsidRDefault="00370281" w:rsidP="00370281">
      <w:pPr>
        <w:tabs>
          <w:tab w:val="left" w:pos="1628"/>
        </w:tabs>
      </w:pPr>
      <w:r w:rsidRPr="00370281">
        <w:t>Les prix sont révisables annuellement à la date d’anniversaire de notification de l’accord-cadre.</w:t>
      </w:r>
    </w:p>
    <w:p w14:paraId="2D4B1D71" w14:textId="77777777" w:rsidR="00370281" w:rsidRPr="00370281" w:rsidRDefault="00370281" w:rsidP="00370281">
      <w:pPr>
        <w:tabs>
          <w:tab w:val="left" w:pos="1628"/>
        </w:tabs>
      </w:pPr>
      <w:r w:rsidRPr="00370281">
        <w:t>Le prix est établi aux conditions économiques existant le mois de remise des offres. Ce mois est appelé « mois zéro ».</w:t>
      </w:r>
    </w:p>
    <w:p w14:paraId="35B5350B" w14:textId="77777777" w:rsidR="00370281" w:rsidRPr="00370281" w:rsidRDefault="00370281" w:rsidP="00370281">
      <w:pPr>
        <w:tabs>
          <w:tab w:val="left" w:pos="1628"/>
        </w:tabs>
      </w:pPr>
      <w:r w:rsidRPr="00370281">
        <w:t>Les prix sont révisables par application d’une formule représentative de l’évolution du coût de la prestation.</w:t>
      </w:r>
    </w:p>
    <w:p w14:paraId="03C0BB4B" w14:textId="77777777" w:rsidR="00370281" w:rsidRPr="00370281" w:rsidRDefault="00370281" w:rsidP="00370281">
      <w:pPr>
        <w:tabs>
          <w:tab w:val="left" w:pos="1628"/>
        </w:tabs>
      </w:pPr>
      <w:r w:rsidRPr="00370281">
        <w:t>La formule de révision prend en compte l’évolution à la hausse ou à la baisse des conditions économiques.</w:t>
      </w:r>
    </w:p>
    <w:p w14:paraId="13DDECFD" w14:textId="77777777" w:rsidR="00370281" w:rsidRPr="00370281" w:rsidRDefault="00370281" w:rsidP="00370281">
      <w:pPr>
        <w:tabs>
          <w:tab w:val="left" w:pos="1628"/>
        </w:tabs>
      </w:pPr>
      <w:r w:rsidRPr="00370281">
        <w:t>La révision des prix de l’accord-cadre sera effectuée au 1</w:t>
      </w:r>
      <w:r w:rsidRPr="00370281">
        <w:rPr>
          <w:vertAlign w:val="superscript"/>
        </w:rPr>
        <w:t>er</w:t>
      </w:r>
      <w:r w:rsidRPr="00370281">
        <w:t xml:space="preserve"> janvier de chaque année d’exécution du marché.</w:t>
      </w:r>
    </w:p>
    <w:p w14:paraId="43D956FD" w14:textId="77777777" w:rsidR="00370281" w:rsidRPr="00370281" w:rsidRDefault="00370281" w:rsidP="00370281">
      <w:pPr>
        <w:tabs>
          <w:tab w:val="left" w:pos="1628"/>
        </w:tabs>
      </w:pPr>
    </w:p>
    <w:p w14:paraId="03EB00C7" w14:textId="0E258432" w:rsidR="00370281" w:rsidRPr="00370281" w:rsidRDefault="00370281" w:rsidP="00370281">
      <w:pPr>
        <w:tabs>
          <w:tab w:val="left" w:pos="1628"/>
        </w:tabs>
      </w:pPr>
      <w:r w:rsidRPr="00370281">
        <w:t xml:space="preserve">La formule de révision est la suivante : </w:t>
      </w:r>
      <m:oMath>
        <m:sSub>
          <m:sSubPr>
            <m:ctrlPr>
              <w:rPr>
                <w:rFonts w:ascii="Cambria Math" w:hAnsi="Cambria Math"/>
              </w:rPr>
            </m:ctrlPr>
          </m:sSubPr>
          <m:e>
            <m:r>
              <m:rPr>
                <m:sty m:val="p"/>
              </m:rP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 xml:space="preserve"> (0.125+0.875 </m:t>
        </m:r>
        <m:f>
          <m:fPr>
            <m:ctrlPr>
              <w:rPr>
                <w:rFonts w:ascii="Cambria Math" w:hAnsi="Cambria Math"/>
                <w:i/>
              </w:rPr>
            </m:ctrlPr>
          </m:fPr>
          <m:num>
            <m:sSub>
              <m:sSubPr>
                <m:ctrlPr>
                  <w:rPr>
                    <w:rFonts w:ascii="Cambria Math" w:hAnsi="Cambria Math"/>
                    <w:i/>
                  </w:rPr>
                </m:ctrlPr>
              </m:sSubPr>
              <m:e>
                <m:r>
                  <w:rPr>
                    <w:rFonts w:ascii="Cambria Math" w:hAnsi="Cambria Math"/>
                  </w:rPr>
                  <m:t>CPF62.02</m:t>
                </m:r>
              </m:e>
              <m:sub>
                <m:r>
                  <w:rPr>
                    <w:rFonts w:ascii="Cambria Math" w:hAnsi="Cambria Math"/>
                  </w:rPr>
                  <m:t>1</m:t>
                </m:r>
              </m:sub>
            </m:sSub>
          </m:num>
          <m:den>
            <m:sSub>
              <m:sSubPr>
                <m:ctrlPr>
                  <w:rPr>
                    <w:rFonts w:ascii="Cambria Math" w:hAnsi="Cambria Math"/>
                    <w:i/>
                  </w:rPr>
                </m:ctrlPr>
              </m:sSubPr>
              <m:e>
                <m:r>
                  <w:rPr>
                    <w:rFonts w:ascii="Cambria Math" w:hAnsi="Cambria Math"/>
                  </w:rPr>
                  <m:t>CPF62.02</m:t>
                </m:r>
              </m:e>
              <m:sub>
                <m:r>
                  <w:rPr>
                    <w:rFonts w:ascii="Cambria Math" w:hAnsi="Cambria Math"/>
                  </w:rPr>
                  <m:t>0</m:t>
                </m:r>
              </m:sub>
            </m:sSub>
          </m:den>
        </m:f>
        <m:r>
          <w:rPr>
            <w:rFonts w:ascii="Cambria Math" w:hAnsi="Cambria Math"/>
          </w:rPr>
          <m:t>)</m:t>
        </m:r>
      </m:oMath>
    </w:p>
    <w:p w14:paraId="6989961A" w14:textId="77777777" w:rsidR="00370281" w:rsidRPr="00370281" w:rsidRDefault="00370281" w:rsidP="00370281">
      <w:pPr>
        <w:tabs>
          <w:tab w:val="left" w:pos="1628"/>
        </w:tabs>
      </w:pPr>
    </w:p>
    <w:p w14:paraId="5E504C0B" w14:textId="77777777" w:rsidR="00370281" w:rsidRPr="00370281" w:rsidRDefault="00370281" w:rsidP="00370281">
      <w:pPr>
        <w:tabs>
          <w:tab w:val="left" w:pos="1628"/>
        </w:tabs>
      </w:pPr>
      <w:r w:rsidRPr="00370281">
        <w:t>Dans laquelle :</w:t>
      </w:r>
    </w:p>
    <w:p w14:paraId="498231B7" w14:textId="77777777" w:rsidR="00370281" w:rsidRPr="00370281" w:rsidRDefault="00370281" w:rsidP="00370281">
      <w:pPr>
        <w:tabs>
          <w:tab w:val="left" w:pos="1628"/>
        </w:tabs>
      </w:pPr>
      <w:r w:rsidRPr="00370281">
        <w:t>P</w:t>
      </w:r>
      <w:r w:rsidRPr="00370281">
        <w:rPr>
          <w:vertAlign w:val="subscript"/>
        </w:rPr>
        <w:t xml:space="preserve">1 </w:t>
      </w:r>
      <w:r w:rsidRPr="00370281">
        <w:t>= Prix en euros révisé hors TVA ;</w:t>
      </w:r>
    </w:p>
    <w:p w14:paraId="22BA0CA7" w14:textId="77777777" w:rsidR="00370281" w:rsidRPr="00370281" w:rsidRDefault="00370281" w:rsidP="00370281">
      <w:pPr>
        <w:tabs>
          <w:tab w:val="left" w:pos="1628"/>
        </w:tabs>
      </w:pPr>
      <w:r w:rsidRPr="00370281">
        <w:t>P</w:t>
      </w:r>
      <w:r w:rsidRPr="00370281">
        <w:rPr>
          <w:vertAlign w:val="subscript"/>
        </w:rPr>
        <w:t>0</w:t>
      </w:r>
      <w:r w:rsidRPr="00370281">
        <w:t xml:space="preserve"> = Prix en euros hors TVA figurant dans l’acte d’engagement du marché.</w:t>
      </w:r>
    </w:p>
    <w:p w14:paraId="56842DF8" w14:textId="77777777" w:rsidR="00370281" w:rsidRPr="00370281" w:rsidRDefault="00370281" w:rsidP="00370281">
      <w:pPr>
        <w:tabs>
          <w:tab w:val="left" w:pos="1628"/>
        </w:tabs>
      </w:pPr>
    </w:p>
    <w:p w14:paraId="27E471FD" w14:textId="77777777" w:rsidR="00370281" w:rsidRPr="00370281" w:rsidRDefault="00370281" w:rsidP="00370281">
      <w:pPr>
        <w:tabs>
          <w:tab w:val="left" w:pos="1628"/>
        </w:tabs>
      </w:pPr>
      <w:r w:rsidRPr="00370281">
        <w:t>Les coefficients correspondent à la part représentative de l’élément entrant dans la détermination du prix.</w:t>
      </w:r>
    </w:p>
    <w:p w14:paraId="01F5CA29" w14:textId="77777777" w:rsidR="00370281" w:rsidRPr="00370281" w:rsidRDefault="00370281" w:rsidP="00370281">
      <w:pPr>
        <w:tabs>
          <w:tab w:val="left" w:pos="1628"/>
        </w:tabs>
      </w:pPr>
      <w:r w:rsidRPr="00370281">
        <w:t>Dans le cas où la série d’indices de prix de l’INSEE est arrêtée, les indices de la nouvelle série en vigueur sont multipliés par le coefficient de raccordement des prix proposé par l’INSEE.</w:t>
      </w:r>
    </w:p>
    <w:p w14:paraId="4D5932CD" w14:textId="77777777" w:rsidR="00370281" w:rsidRPr="00370281" w:rsidRDefault="00370281" w:rsidP="00370281">
      <w:pPr>
        <w:tabs>
          <w:tab w:val="left" w:pos="1628"/>
        </w:tabs>
      </w:pPr>
    </w:p>
    <w:p w14:paraId="71FECD3F" w14:textId="77777777" w:rsidR="00370281" w:rsidRPr="00370281" w:rsidRDefault="00370281" w:rsidP="00370281">
      <w:pPr>
        <w:tabs>
          <w:tab w:val="left" w:pos="1628"/>
        </w:tabs>
      </w:pPr>
    </w:p>
    <w:p w14:paraId="5714D482" w14:textId="77777777" w:rsidR="00370281" w:rsidRPr="00370281" w:rsidRDefault="00370281" w:rsidP="00370281">
      <w:pPr>
        <w:tabs>
          <w:tab w:val="left" w:pos="1628"/>
        </w:tabs>
      </w:pPr>
      <w:r w:rsidRPr="00370281">
        <w:t xml:space="preserve">Ces derniers éléments correspondent aux indices suivants : </w:t>
      </w:r>
    </w:p>
    <w:p w14:paraId="55296B59" w14:textId="77777777" w:rsidR="00370281" w:rsidRPr="00370281" w:rsidRDefault="00370281" w:rsidP="00370281">
      <w:pPr>
        <w:tabs>
          <w:tab w:val="left" w:pos="1628"/>
        </w:tabs>
        <w:rPr>
          <w:b/>
        </w:rPr>
      </w:pPr>
    </w:p>
    <w:p w14:paraId="3108134B" w14:textId="77777777" w:rsidR="00370281" w:rsidRPr="00370281" w:rsidRDefault="00370281" w:rsidP="00370281">
      <w:pPr>
        <w:tabs>
          <w:tab w:val="left" w:pos="1628"/>
        </w:tabs>
        <w:rPr>
          <w:b/>
        </w:rPr>
      </w:pPr>
      <w:r w:rsidRPr="00370281">
        <w:rPr>
          <w:b/>
        </w:rPr>
        <w:t>Indices relevés sur le site de l’INSEE :</w:t>
      </w:r>
    </w:p>
    <w:p w14:paraId="1DD8F58C" w14:textId="77777777" w:rsidR="00370281" w:rsidRPr="00370281" w:rsidRDefault="00370281" w:rsidP="00370281">
      <w:pPr>
        <w:tabs>
          <w:tab w:val="left" w:pos="1628"/>
        </w:tabs>
      </w:pPr>
      <w:r w:rsidRPr="00370281">
        <w:t>Indices des prix de production des services français aux entreprises françaises (</w:t>
      </w:r>
      <w:proofErr w:type="spellStart"/>
      <w:r w:rsidRPr="00370281">
        <w:t>BtoB</w:t>
      </w:r>
      <w:proofErr w:type="spellEnd"/>
      <w:r w:rsidRPr="00370281">
        <w:t>) − CPF 62.02 − Services de conseil en informatique Prix de marché − Base 2021 − Données trimestrielles brutes – Identifiant 010766573</w:t>
      </w:r>
    </w:p>
    <w:p w14:paraId="2750B269" w14:textId="77777777" w:rsidR="00370281" w:rsidRPr="00370281" w:rsidRDefault="00370281" w:rsidP="00370281">
      <w:pPr>
        <w:tabs>
          <w:tab w:val="left" w:pos="1628"/>
        </w:tabs>
        <w:rPr>
          <w:b/>
        </w:rPr>
      </w:pPr>
    </w:p>
    <w:p w14:paraId="5DD9229C" w14:textId="2A1BC740" w:rsidR="00370281" w:rsidRPr="00370281" w:rsidRDefault="00370281" w:rsidP="00370281">
      <w:pPr>
        <w:tabs>
          <w:tab w:val="left" w:pos="1628"/>
        </w:tabs>
        <w:rPr>
          <w:b/>
        </w:rPr>
      </w:pPr>
      <w:r w:rsidRPr="00370281">
        <w:rPr>
          <w:b/>
        </w:rPr>
        <w:t>Date de lecture des indices «</w:t>
      </w:r>
      <m:oMath>
        <m:sSub>
          <m:sSubPr>
            <m:ctrlPr>
              <w:rPr>
                <w:rFonts w:ascii="Cambria Math" w:hAnsi="Cambria Math"/>
                <w:b/>
                <w:i/>
              </w:rPr>
            </m:ctrlPr>
          </m:sSubPr>
          <m:e>
            <m:r>
              <m:rPr>
                <m:sty m:val="bi"/>
              </m:rPr>
              <w:rPr>
                <w:rFonts w:ascii="Cambria Math" w:hAnsi="Cambria Math"/>
              </w:rPr>
              <m:t>CPF</m:t>
            </m:r>
            <m:r>
              <m:rPr>
                <m:sty m:val="bi"/>
              </m:rPr>
              <w:rPr>
                <w:rFonts w:ascii="Cambria Math" w:hAnsi="Cambria Math"/>
              </w:rPr>
              <m:t>62.02</m:t>
            </m:r>
          </m:e>
          <m:sub>
            <m:r>
              <m:rPr>
                <m:sty m:val="bi"/>
              </m:rPr>
              <w:rPr>
                <w:rFonts w:ascii="Cambria Math" w:hAnsi="Cambria Math"/>
              </w:rPr>
              <m:t>0</m:t>
            </m:r>
          </m:sub>
        </m:sSub>
      </m:oMath>
      <w:r w:rsidRPr="00370281">
        <w:rPr>
          <w:b/>
        </w:rPr>
        <w:t>» :</w:t>
      </w:r>
    </w:p>
    <w:p w14:paraId="6E11AAE9" w14:textId="0BDEE348" w:rsidR="00370281" w:rsidRPr="00370281" w:rsidRDefault="00370281" w:rsidP="00370281">
      <w:pPr>
        <w:tabs>
          <w:tab w:val="left" w:pos="1628"/>
        </w:tabs>
      </w:pPr>
      <w:r w:rsidRPr="00370281">
        <w:t>Les indices «</w:t>
      </w:r>
      <m:oMath>
        <m:sSub>
          <m:sSubPr>
            <m:ctrlPr>
              <w:rPr>
                <w:rFonts w:ascii="Cambria Math" w:hAnsi="Cambria Math"/>
                <w:i/>
              </w:rPr>
            </m:ctrlPr>
          </m:sSubPr>
          <m:e>
            <m:r>
              <w:rPr>
                <w:rFonts w:ascii="Cambria Math" w:hAnsi="Cambria Math"/>
              </w:rPr>
              <m:t>CPF62.02</m:t>
            </m:r>
          </m:e>
          <m:sub>
            <m:r>
              <w:rPr>
                <w:rFonts w:ascii="Cambria Math" w:hAnsi="Cambria Math"/>
              </w:rPr>
              <m:t>0</m:t>
            </m:r>
          </m:sub>
        </m:sSub>
      </m:oMath>
      <w:r w:rsidRPr="00370281">
        <w:t>» sont les derniers indices lus et connus du mois de la date limite de remise des offres.</w:t>
      </w:r>
    </w:p>
    <w:p w14:paraId="36D6B098" w14:textId="77777777" w:rsidR="00370281" w:rsidRPr="00370281" w:rsidRDefault="00370281" w:rsidP="00370281">
      <w:pPr>
        <w:tabs>
          <w:tab w:val="left" w:pos="1628"/>
        </w:tabs>
        <w:rPr>
          <w:b/>
        </w:rPr>
      </w:pPr>
    </w:p>
    <w:p w14:paraId="65418C1C" w14:textId="38B2AA13" w:rsidR="00370281" w:rsidRPr="00370281" w:rsidRDefault="00370281" w:rsidP="00370281">
      <w:pPr>
        <w:tabs>
          <w:tab w:val="left" w:pos="1628"/>
        </w:tabs>
        <w:rPr>
          <w:b/>
        </w:rPr>
      </w:pPr>
      <w:r w:rsidRPr="00370281">
        <w:rPr>
          <w:b/>
        </w:rPr>
        <w:t>Date de lecture des indices «</w:t>
      </w:r>
      <m:oMath>
        <m:sSub>
          <m:sSubPr>
            <m:ctrlPr>
              <w:rPr>
                <w:rFonts w:ascii="Cambria Math" w:hAnsi="Cambria Math"/>
                <w:b/>
                <w:i/>
              </w:rPr>
            </m:ctrlPr>
          </m:sSubPr>
          <m:e>
            <m:r>
              <m:rPr>
                <m:sty m:val="bi"/>
              </m:rPr>
              <w:rPr>
                <w:rFonts w:ascii="Cambria Math" w:hAnsi="Cambria Math"/>
              </w:rPr>
              <m:t>CPF</m:t>
            </m:r>
            <m:r>
              <m:rPr>
                <m:sty m:val="bi"/>
              </m:rPr>
              <w:rPr>
                <w:rFonts w:ascii="Cambria Math" w:hAnsi="Cambria Math"/>
              </w:rPr>
              <m:t>62.02</m:t>
            </m:r>
          </m:e>
          <m:sub>
            <m:r>
              <m:rPr>
                <m:sty m:val="bi"/>
              </m:rPr>
              <w:rPr>
                <w:rFonts w:ascii="Cambria Math" w:hAnsi="Cambria Math"/>
              </w:rPr>
              <m:t>1</m:t>
            </m:r>
          </m:sub>
        </m:sSub>
      </m:oMath>
      <w:r w:rsidRPr="00370281">
        <w:rPr>
          <w:b/>
        </w:rPr>
        <w:t>» :</w:t>
      </w:r>
    </w:p>
    <w:p w14:paraId="1EA906A9" w14:textId="1089A2B2" w:rsidR="00370281" w:rsidRPr="00370281" w:rsidRDefault="00370281" w:rsidP="00370281">
      <w:pPr>
        <w:tabs>
          <w:tab w:val="left" w:pos="1628"/>
        </w:tabs>
      </w:pPr>
      <w:r w:rsidRPr="00370281">
        <w:t>Les indices «</w:t>
      </w:r>
      <m:oMath>
        <m:sSub>
          <m:sSubPr>
            <m:ctrlPr>
              <w:rPr>
                <w:rFonts w:ascii="Cambria Math" w:hAnsi="Cambria Math"/>
                <w:i/>
              </w:rPr>
            </m:ctrlPr>
          </m:sSubPr>
          <m:e>
            <m:r>
              <w:rPr>
                <w:rFonts w:ascii="Cambria Math" w:hAnsi="Cambria Math"/>
              </w:rPr>
              <m:t>CPF62.02</m:t>
            </m:r>
          </m:e>
          <m:sub>
            <m:r>
              <w:rPr>
                <w:rFonts w:ascii="Cambria Math" w:hAnsi="Cambria Math"/>
              </w:rPr>
              <m:t>1</m:t>
            </m:r>
          </m:sub>
        </m:sSub>
      </m:oMath>
      <w:r w:rsidRPr="00370281">
        <w:t>»» sont les derniers indices (éventuellement provisoires) lus et connus au mois de révision des prix de l’accord-cadre.</w:t>
      </w:r>
    </w:p>
    <w:p w14:paraId="557137DE" w14:textId="77777777" w:rsidR="00370281" w:rsidRPr="00370281" w:rsidRDefault="00370281" w:rsidP="00370281">
      <w:pPr>
        <w:tabs>
          <w:tab w:val="left" w:pos="1628"/>
        </w:tabs>
      </w:pPr>
    </w:p>
    <w:p w14:paraId="73791B82" w14:textId="77777777" w:rsidR="00370281" w:rsidRPr="00370281" w:rsidRDefault="00370281" w:rsidP="00370281">
      <w:pPr>
        <w:tabs>
          <w:tab w:val="left" w:pos="1628"/>
        </w:tabs>
      </w:pPr>
    </w:p>
    <w:p w14:paraId="08213E98" w14:textId="77777777" w:rsidR="00370281" w:rsidRPr="00370281" w:rsidRDefault="00370281" w:rsidP="00370281">
      <w:pPr>
        <w:tabs>
          <w:tab w:val="left" w:pos="1628"/>
        </w:tabs>
      </w:pPr>
      <w:r w:rsidRPr="00370281">
        <w:t>Les coefficients d’actualisation des prix obtenus sont arrondis au millième supérieur.</w:t>
      </w:r>
    </w:p>
    <w:p w14:paraId="6AAE8236" w14:textId="77777777" w:rsidR="00C63BA5" w:rsidRDefault="00C63BA5" w:rsidP="00C63BA5">
      <w:pPr>
        <w:tabs>
          <w:tab w:val="left" w:pos="1628"/>
        </w:tabs>
      </w:pPr>
    </w:p>
    <w:p w14:paraId="0C028D70" w14:textId="77777777" w:rsidR="00C63BA5" w:rsidRPr="00C63BA5" w:rsidRDefault="00C63BA5" w:rsidP="00C63BA5">
      <w:pPr>
        <w:tabs>
          <w:tab w:val="left" w:pos="1628"/>
        </w:tabs>
      </w:pPr>
    </w:p>
    <w:sectPr w:rsidR="00C63BA5" w:rsidRPr="00C63BA5" w:rsidSect="007E761E">
      <w:type w:val="continuous"/>
      <w:pgSz w:w="12240" w:h="15840"/>
      <w:pgMar w:top="719" w:right="758" w:bottom="899"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D5AE9" w14:textId="77777777" w:rsidR="00495224" w:rsidRDefault="00495224">
      <w:r>
        <w:separator/>
      </w:r>
    </w:p>
  </w:endnote>
  <w:endnote w:type="continuationSeparator" w:id="0">
    <w:p w14:paraId="2F69A616" w14:textId="77777777" w:rsidR="00495224" w:rsidRDefault="00495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Bold">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BB4C0" w14:textId="124E588C" w:rsidR="007340A0" w:rsidRPr="00F9251B" w:rsidRDefault="001F46AA" w:rsidP="006D3C7C">
    <w:pPr>
      <w:pStyle w:val="En-tte"/>
      <w:tabs>
        <w:tab w:val="clear" w:pos="4536"/>
        <w:tab w:val="clear" w:pos="9072"/>
        <w:tab w:val="right" w:pos="9360"/>
      </w:tabs>
      <w:spacing w:before="120"/>
      <w:ind w:left="900" w:right="46"/>
      <w:jc w:val="both"/>
      <w:rPr>
        <w:sz w:val="16"/>
        <w:szCs w:val="16"/>
      </w:rPr>
    </w:pPr>
    <w:r w:rsidRPr="00D523E7">
      <w:rPr>
        <w:i/>
        <w:noProof/>
        <w:sz w:val="20"/>
        <w:lang w:val="fr-FR" w:eastAsia="fr-FR"/>
      </w:rPr>
      <w:drawing>
        <wp:anchor distT="0" distB="0" distL="114300" distR="114300" simplePos="0" relativeHeight="251659264" behindDoc="0" locked="0" layoutInCell="1" allowOverlap="1" wp14:anchorId="462700EA" wp14:editId="615AE959">
          <wp:simplePos x="0" y="0"/>
          <wp:positionH relativeFrom="column">
            <wp:posOffset>-571500</wp:posOffset>
          </wp:positionH>
          <wp:positionV relativeFrom="paragraph">
            <wp:posOffset>-4445</wp:posOffset>
          </wp:positionV>
          <wp:extent cx="1028700" cy="471805"/>
          <wp:effectExtent l="0" t="0" r="0" b="4445"/>
          <wp:wrapNone/>
          <wp:docPr id="10" name="Image 10" descr="LogoS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71805"/>
                  </a:xfrm>
                  <a:prstGeom prst="rect">
                    <a:avLst/>
                  </a:prstGeom>
                  <a:noFill/>
                  <a:ln>
                    <a:noFill/>
                  </a:ln>
                </pic:spPr>
              </pic:pic>
            </a:graphicData>
          </a:graphic>
          <wp14:sizeRelH relativeFrom="page">
            <wp14:pctWidth>0</wp14:pctWidth>
          </wp14:sizeRelH>
          <wp14:sizeRelV relativeFrom="page">
            <wp14:pctHeight>0</wp14:pctHeight>
          </wp14:sizeRelV>
        </wp:anchor>
      </w:drawing>
    </w:r>
    <w:r w:rsidR="00BA3764" w:rsidRPr="00D523E7">
      <w:rPr>
        <w:rStyle w:val="Numrodepage"/>
        <w:i/>
        <w:sz w:val="16"/>
        <w:szCs w:val="16"/>
      </w:rPr>
      <w:t>AE</w:t>
    </w:r>
    <w:r w:rsidR="00370281">
      <w:rPr>
        <w:rStyle w:val="Numrodepage"/>
        <w:i/>
        <w:sz w:val="16"/>
        <w:szCs w:val="16"/>
        <w:lang w:val="fr-FR"/>
      </w:rPr>
      <w:t xml:space="preserve"> 25-EP-1001 DAF_2025_000051 </w:t>
    </w:r>
    <w:r w:rsidR="00303FE1" w:rsidRPr="00303FE1">
      <w:rPr>
        <w:i/>
        <w:sz w:val="16"/>
        <w:szCs w:val="16"/>
      </w:rPr>
      <w:t>Accord-cadre relatif</w:t>
    </w:r>
    <w:r w:rsidR="00370281">
      <w:rPr>
        <w:i/>
        <w:sz w:val="16"/>
        <w:szCs w:val="16"/>
        <w:lang w:val="fr-FR"/>
      </w:rPr>
      <w:t xml:space="preserve">  au MCO/ SI des 35 licences du code de calcul LSTC/ LS </w:t>
    </w:r>
    <w:proofErr w:type="spellStart"/>
    <w:r w:rsidR="00370281">
      <w:rPr>
        <w:i/>
        <w:sz w:val="16"/>
        <w:szCs w:val="16"/>
        <w:lang w:val="fr-FR"/>
      </w:rPr>
      <w:t>Dyna</w:t>
    </w:r>
    <w:proofErr w:type="spellEnd"/>
    <w:r w:rsidR="00BA3764">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E5857" w14:textId="77777777" w:rsidR="00495224" w:rsidRDefault="00495224">
      <w:r>
        <w:separator/>
      </w:r>
    </w:p>
  </w:footnote>
  <w:footnote w:type="continuationSeparator" w:id="0">
    <w:p w14:paraId="0975C3AF" w14:textId="77777777" w:rsidR="00495224" w:rsidRDefault="00495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40625A"/>
    <w:multiLevelType w:val="hybridMultilevel"/>
    <w:tmpl w:val="BF162CBA"/>
    <w:lvl w:ilvl="0" w:tplc="EC9CC010">
      <w:start w:val="1"/>
      <w:numFmt w:val="bullet"/>
      <w:lvlText w:val="-"/>
      <w:lvlJc w:val="left"/>
      <w:pPr>
        <w:ind w:left="420" w:hanging="360"/>
      </w:pPr>
      <w:rPr>
        <w:rFonts w:ascii="Arial" w:eastAsia="Times New Roman"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6AA"/>
    <w:rsid w:val="00022F88"/>
    <w:rsid w:val="000F708F"/>
    <w:rsid w:val="001F46AA"/>
    <w:rsid w:val="00274AE3"/>
    <w:rsid w:val="00297528"/>
    <w:rsid w:val="002A57B6"/>
    <w:rsid w:val="002E0B4E"/>
    <w:rsid w:val="00303FE1"/>
    <w:rsid w:val="00370281"/>
    <w:rsid w:val="003D55AF"/>
    <w:rsid w:val="004015C7"/>
    <w:rsid w:val="00495224"/>
    <w:rsid w:val="004D4A8E"/>
    <w:rsid w:val="005A2558"/>
    <w:rsid w:val="005D7346"/>
    <w:rsid w:val="005E366C"/>
    <w:rsid w:val="006C4ACA"/>
    <w:rsid w:val="00700F42"/>
    <w:rsid w:val="00752202"/>
    <w:rsid w:val="007539AE"/>
    <w:rsid w:val="007E761E"/>
    <w:rsid w:val="007F4B58"/>
    <w:rsid w:val="009103A4"/>
    <w:rsid w:val="009C4B82"/>
    <w:rsid w:val="00A040E0"/>
    <w:rsid w:val="00AA1FAB"/>
    <w:rsid w:val="00B06B0B"/>
    <w:rsid w:val="00B67105"/>
    <w:rsid w:val="00BA3764"/>
    <w:rsid w:val="00BA7F2B"/>
    <w:rsid w:val="00BC6F78"/>
    <w:rsid w:val="00BF2369"/>
    <w:rsid w:val="00BF6FAE"/>
    <w:rsid w:val="00C01D87"/>
    <w:rsid w:val="00C560ED"/>
    <w:rsid w:val="00C60675"/>
    <w:rsid w:val="00C63BA5"/>
    <w:rsid w:val="00C7680C"/>
    <w:rsid w:val="00C95FC3"/>
    <w:rsid w:val="00CD7106"/>
    <w:rsid w:val="00CE1D75"/>
    <w:rsid w:val="00CE4D74"/>
    <w:rsid w:val="00CF59AA"/>
    <w:rsid w:val="00CF672D"/>
    <w:rsid w:val="00D10C0D"/>
    <w:rsid w:val="00D251B1"/>
    <w:rsid w:val="00D700B9"/>
    <w:rsid w:val="00D71D51"/>
    <w:rsid w:val="00DB4FF0"/>
    <w:rsid w:val="00DC590F"/>
    <w:rsid w:val="00DE1184"/>
    <w:rsid w:val="00E21785"/>
    <w:rsid w:val="00E246FF"/>
    <w:rsid w:val="00E40416"/>
    <w:rsid w:val="00E40875"/>
    <w:rsid w:val="00E72EFC"/>
    <w:rsid w:val="00E7490B"/>
    <w:rsid w:val="00E75773"/>
    <w:rsid w:val="00E956D8"/>
    <w:rsid w:val="00ED4575"/>
    <w:rsid w:val="00F6175F"/>
    <w:rsid w:val="00F7269A"/>
    <w:rsid w:val="00F818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FFE071"/>
  <w15:chartTrackingRefBased/>
  <w15:docId w15:val="{F2B498F9-76B8-47BD-BE19-C9A8DB5B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6AA"/>
    <w:pPr>
      <w:spacing w:after="0" w:line="240" w:lineRule="auto"/>
    </w:pPr>
    <w:rPr>
      <w:rFonts w:ascii="Times New Roman" w:eastAsia="Times New Roman" w:hAnsi="Times New Roman" w:cs="Times New Roman"/>
      <w:sz w:val="24"/>
      <w:szCs w:val="24"/>
      <w:lang w:eastAsia="fr-FR"/>
    </w:rPr>
  </w:style>
  <w:style w:type="paragraph" w:styleId="Titre4">
    <w:name w:val="heading 4"/>
    <w:basedOn w:val="Normal"/>
    <w:next w:val="Normal"/>
    <w:link w:val="Titre4Car"/>
    <w:qFormat/>
    <w:rsid w:val="00E246FF"/>
    <w:pPr>
      <w:keepNext/>
      <w:autoSpaceDE w:val="0"/>
      <w:autoSpaceDN w:val="0"/>
      <w:adjustRightInd w:val="0"/>
      <w:ind w:left="-790" w:firstLine="790"/>
      <w:jc w:val="center"/>
      <w:outlineLvl w:val="3"/>
    </w:pPr>
    <w:rPr>
      <w:rFonts w:ascii="Arial,Bold" w:hAnsi="Arial,Bold"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F46AA"/>
    <w:pPr>
      <w:tabs>
        <w:tab w:val="center" w:pos="4536"/>
        <w:tab w:val="right" w:pos="9072"/>
      </w:tabs>
    </w:pPr>
    <w:rPr>
      <w:lang w:val="x-none" w:eastAsia="x-none"/>
    </w:rPr>
  </w:style>
  <w:style w:type="character" w:customStyle="1" w:styleId="En-tteCar">
    <w:name w:val="En-tête Car"/>
    <w:basedOn w:val="Policepardfaut"/>
    <w:link w:val="En-tte"/>
    <w:rsid w:val="001F46AA"/>
    <w:rPr>
      <w:rFonts w:ascii="Times New Roman" w:eastAsia="Times New Roman" w:hAnsi="Times New Roman" w:cs="Times New Roman"/>
      <w:sz w:val="24"/>
      <w:szCs w:val="24"/>
      <w:lang w:val="x-none" w:eastAsia="x-none"/>
    </w:rPr>
  </w:style>
  <w:style w:type="character" w:styleId="Numrodepage">
    <w:name w:val="page number"/>
    <w:basedOn w:val="Policepardfaut"/>
    <w:rsid w:val="001F46AA"/>
  </w:style>
  <w:style w:type="character" w:styleId="Marquedecommentaire">
    <w:name w:val="annotation reference"/>
    <w:basedOn w:val="Policepardfaut"/>
    <w:uiPriority w:val="99"/>
    <w:semiHidden/>
    <w:unhideWhenUsed/>
    <w:rsid w:val="002E0B4E"/>
    <w:rPr>
      <w:sz w:val="16"/>
      <w:szCs w:val="16"/>
    </w:rPr>
  </w:style>
  <w:style w:type="paragraph" w:styleId="Commentaire">
    <w:name w:val="annotation text"/>
    <w:basedOn w:val="Normal"/>
    <w:link w:val="CommentaireCar"/>
    <w:uiPriority w:val="99"/>
    <w:semiHidden/>
    <w:unhideWhenUsed/>
    <w:rsid w:val="002E0B4E"/>
    <w:rPr>
      <w:sz w:val="20"/>
      <w:szCs w:val="20"/>
    </w:rPr>
  </w:style>
  <w:style w:type="character" w:customStyle="1" w:styleId="CommentaireCar">
    <w:name w:val="Commentaire Car"/>
    <w:basedOn w:val="Policepardfaut"/>
    <w:link w:val="Commentaire"/>
    <w:uiPriority w:val="99"/>
    <w:semiHidden/>
    <w:rsid w:val="002E0B4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E0B4E"/>
    <w:rPr>
      <w:b/>
      <w:bCs/>
    </w:rPr>
  </w:style>
  <w:style w:type="character" w:customStyle="1" w:styleId="ObjetducommentaireCar">
    <w:name w:val="Objet du commentaire Car"/>
    <w:basedOn w:val="CommentaireCar"/>
    <w:link w:val="Objetducommentaire"/>
    <w:uiPriority w:val="99"/>
    <w:semiHidden/>
    <w:rsid w:val="002E0B4E"/>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2E0B4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0B4E"/>
    <w:rPr>
      <w:rFonts w:ascii="Segoe UI" w:eastAsia="Times New Roman" w:hAnsi="Segoe UI" w:cs="Segoe UI"/>
      <w:sz w:val="18"/>
      <w:szCs w:val="18"/>
      <w:lang w:eastAsia="fr-FR"/>
    </w:rPr>
  </w:style>
  <w:style w:type="character" w:customStyle="1" w:styleId="Titre4Car">
    <w:name w:val="Titre 4 Car"/>
    <w:basedOn w:val="Policepardfaut"/>
    <w:link w:val="Titre4"/>
    <w:rsid w:val="00E246FF"/>
    <w:rPr>
      <w:rFonts w:ascii="Arial,Bold" w:eastAsia="Times New Roman" w:hAnsi="Arial,Bold" w:cs="Arial"/>
      <w:b/>
      <w:bCs/>
      <w:sz w:val="28"/>
      <w:szCs w:val="28"/>
      <w:lang w:eastAsia="fr-FR"/>
    </w:rPr>
  </w:style>
  <w:style w:type="table" w:styleId="Grilledutableau">
    <w:name w:val="Table Grid"/>
    <w:basedOn w:val="TableauNormal"/>
    <w:uiPriority w:val="39"/>
    <w:rsid w:val="00A040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DGA">
    <w:name w:val="Normal DGA"/>
    <w:basedOn w:val="Normal"/>
    <w:link w:val="NormalDGACar"/>
    <w:uiPriority w:val="99"/>
    <w:rsid w:val="009C4B82"/>
    <w:pPr>
      <w:spacing w:before="240"/>
      <w:jc w:val="both"/>
    </w:pPr>
    <w:rPr>
      <w:rFonts w:ascii="Times" w:hAnsi="Times"/>
      <w:sz w:val="22"/>
      <w:szCs w:val="20"/>
    </w:rPr>
  </w:style>
  <w:style w:type="character" w:customStyle="1" w:styleId="NormalDGACar">
    <w:name w:val="Normal DGA Car"/>
    <w:link w:val="NormalDGA"/>
    <w:uiPriority w:val="99"/>
    <w:rsid w:val="009C4B82"/>
    <w:rPr>
      <w:rFonts w:ascii="Times" w:eastAsia="Times New Roman" w:hAnsi="Times" w:cs="Times New Roman"/>
      <w:szCs w:val="20"/>
      <w:lang w:eastAsia="fr-FR"/>
    </w:rPr>
  </w:style>
  <w:style w:type="paragraph" w:styleId="Pieddepage">
    <w:name w:val="footer"/>
    <w:basedOn w:val="Normal"/>
    <w:link w:val="PieddepageCar"/>
    <w:uiPriority w:val="99"/>
    <w:unhideWhenUsed/>
    <w:rsid w:val="00303FE1"/>
    <w:pPr>
      <w:tabs>
        <w:tab w:val="center" w:pos="4536"/>
        <w:tab w:val="right" w:pos="9072"/>
      </w:tabs>
    </w:pPr>
  </w:style>
  <w:style w:type="character" w:customStyle="1" w:styleId="PieddepageCar">
    <w:name w:val="Pied de page Car"/>
    <w:basedOn w:val="Policepardfaut"/>
    <w:link w:val="Pieddepage"/>
    <w:uiPriority w:val="99"/>
    <w:rsid w:val="00303FE1"/>
    <w:rPr>
      <w:rFonts w:ascii="Times New Roman" w:eastAsia="Times New Roman" w:hAnsi="Times New Roman" w:cs="Times New Roman"/>
      <w:sz w:val="24"/>
      <w:szCs w:val="24"/>
      <w:lang w:eastAsia="fr-FR"/>
    </w:rPr>
  </w:style>
  <w:style w:type="paragraph" w:customStyle="1" w:styleId="Default">
    <w:name w:val="Default"/>
    <w:rsid w:val="00AA1FA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2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516</Words>
  <Characters>2844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CHAILLEU Elodie INGE CIVI DEFE</dc:creator>
  <cp:keywords/>
  <dc:description/>
  <cp:lastModifiedBy>JANET Vincent TSEF 2CL</cp:lastModifiedBy>
  <cp:revision>8</cp:revision>
  <dcterms:created xsi:type="dcterms:W3CDTF">2024-05-13T11:29:00Z</dcterms:created>
  <dcterms:modified xsi:type="dcterms:W3CDTF">2025-09-15T07:59:00Z</dcterms:modified>
</cp:coreProperties>
</file>